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AF6EAD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AF6EAD">
        <w:rPr>
          <w:noProof/>
          <w:sz w:val="18"/>
          <w:szCs w:val="18"/>
        </w:rPr>
        <w:drawing>
          <wp:inline distT="0" distB="0" distL="0" distR="0" wp14:anchorId="12E4A592" wp14:editId="68B09180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</w:rPr>
      </w:pPr>
      <w:r w:rsidRPr="00AF6EAD">
        <w:rPr>
          <w:rFonts w:ascii="Cambria" w:hAnsi="Cambria"/>
          <w:sz w:val="32"/>
          <w:szCs w:val="32"/>
        </w:rPr>
        <w:t>News Service week</w:t>
      </w:r>
      <w:r w:rsidR="002749A7">
        <w:rPr>
          <w:rFonts w:ascii="Cambria" w:hAnsi="Cambria"/>
          <w:sz w:val="32"/>
          <w:szCs w:val="32"/>
        </w:rPr>
        <w:t>s</w:t>
      </w:r>
      <w:r w:rsidRPr="00AF6EAD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  <w:lang w:val="hu-HU"/>
        </w:rPr>
        <w:t>11-13</w:t>
      </w:r>
      <w:r w:rsidRPr="00AF6EAD">
        <w:rPr>
          <w:rFonts w:ascii="Cambria" w:hAnsi="Cambria"/>
          <w:sz w:val="32"/>
          <w:szCs w:val="32"/>
        </w:rPr>
        <w:t>/2012</w:t>
      </w:r>
    </w:p>
    <w:p w:rsidR="0076799E" w:rsidRDefault="0076799E" w:rsidP="0076799E">
      <w:pPr>
        <w:pStyle w:val="Heading1"/>
        <w:spacing w:line="276" w:lineRule="auto"/>
        <w:jc w:val="center"/>
        <w:rPr>
          <w:rFonts w:ascii="Cambria" w:hAnsi="Cambria"/>
          <w:sz w:val="26"/>
          <w:szCs w:val="26"/>
        </w:rPr>
      </w:pPr>
      <w:r w:rsidRPr="00AF6EAD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 xml:space="preserve">12 March – 1 April </w:t>
      </w:r>
      <w:r w:rsidRPr="00AF6EAD">
        <w:rPr>
          <w:rFonts w:ascii="Cambria" w:hAnsi="Cambria"/>
          <w:sz w:val="26"/>
          <w:szCs w:val="26"/>
        </w:rPr>
        <w:t>2012)</w:t>
      </w:r>
    </w:p>
    <w:p w:rsidR="00B22CA0" w:rsidRPr="005468F0" w:rsidRDefault="00F401E4" w:rsidP="00B22CA0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B22CA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5468F0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14 March</w:t>
            </w:r>
          </w:p>
        </w:tc>
        <w:tc>
          <w:tcPr>
            <w:tcW w:w="7848" w:type="dxa"/>
          </w:tcPr>
          <w:p w:rsidR="00B22CA0" w:rsidRDefault="00B22CA0" w:rsidP="00F401E4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European Parliament resolutions: support for Iceland to join the EU, call for date to start accession talks with Macedonia and concern at limited progress of Bosnia and Herzegovina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AD90873" wp14:editId="232600D7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5468F0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15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Start of 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the High Level Accession D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ialogue with the government of Macedonia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A7E1059" wp14:editId="51460D36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101B52" w:rsidTr="008F4C33">
        <w:trPr>
          <w:trHeight w:val="129"/>
        </w:trPr>
        <w:tc>
          <w:tcPr>
            <w:tcW w:w="1530" w:type="dxa"/>
          </w:tcPr>
          <w:p w:rsidR="00B22CA0" w:rsidRPr="00101B52" w:rsidRDefault="00B22CA0" w:rsidP="008F4C33">
            <w:pPr>
              <w:spacing w:after="0" w:line="240" w:lineRule="auto"/>
              <w:rPr>
                <w:rFonts w:asciiTheme="majorHAnsi" w:hAnsiTheme="majorHAnsi" w:cs="Arial"/>
                <w:b/>
                <w:lang w:val="en-GB"/>
              </w:rPr>
            </w:pPr>
            <w:r w:rsidRPr="00101B52">
              <w:rPr>
                <w:rFonts w:asciiTheme="majorHAnsi" w:hAnsiTheme="majorHAnsi" w:cs="Arial"/>
                <w:b/>
                <w:lang w:val="en-GB"/>
              </w:rPr>
              <w:t>22 March</w:t>
            </w:r>
          </w:p>
        </w:tc>
        <w:tc>
          <w:tcPr>
            <w:tcW w:w="7848" w:type="dxa"/>
          </w:tcPr>
          <w:p w:rsidR="00B22CA0" w:rsidRPr="00101B52" w:rsidRDefault="00B22CA0" w:rsidP="00F401E4">
            <w:pPr>
              <w:shd w:val="clear" w:color="auto" w:fill="FFFFFF"/>
              <w:spacing w:before="30" w:after="30"/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</w:pPr>
            <w:r w:rsidRPr="00101B52">
              <w:rPr>
                <w:rStyle w:val="enhancedlinksboxtitle2"/>
                <w:rFonts w:asciiTheme="majorHAnsi" w:hAnsiTheme="majorHAnsi" w:cstheme="minorHAnsi"/>
                <w:b w:val="0"/>
                <w:bCs w:val="0"/>
                <w:lang w:val="en-GB"/>
              </w:rPr>
              <w:t xml:space="preserve">Commissioner </w:t>
            </w:r>
            <w:proofErr w:type="spellStart"/>
            <w:r w:rsidRPr="00101B52">
              <w:rPr>
                <w:rFonts w:asciiTheme="majorHAnsi" w:hAnsiTheme="majorHAnsi" w:cstheme="minorHAnsi"/>
                <w:color w:val="000000"/>
                <w:lang w:val="en"/>
              </w:rPr>
              <w:t>Füle</w:t>
            </w:r>
            <w:proofErr w:type="spellEnd"/>
            <w:r w:rsidRPr="00101B52">
              <w:rPr>
                <w:rFonts w:asciiTheme="majorHAnsi" w:hAnsiTheme="majorHAnsi" w:cstheme="minorHAnsi"/>
                <w:color w:val="000000"/>
                <w:lang w:val="en"/>
              </w:rPr>
              <w:t xml:space="preserve"> and Prime Minister </w:t>
            </w:r>
            <w:proofErr w:type="spellStart"/>
            <w:r w:rsidRPr="00101B52">
              <w:rPr>
                <w:rStyle w:val="at1"/>
                <w:rFonts w:asciiTheme="majorHAnsi" w:hAnsiTheme="majorHAnsi" w:cstheme="minorHAnsi"/>
              </w:rPr>
              <w:t>Lukšić</w:t>
            </w:r>
            <w:proofErr w:type="spellEnd"/>
            <w:r w:rsidRPr="00101B52">
              <w:rPr>
                <w:rFonts w:asciiTheme="majorHAnsi" w:hAnsiTheme="majorHAnsi" w:cstheme="minorHAnsi"/>
                <w:color w:val="000000"/>
                <w:lang w:val="en"/>
              </w:rPr>
              <w:t xml:space="preserve"> of Montenegro on keeping up the speed of accession process</w:t>
            </w:r>
            <w:r w:rsidRPr="00101B52">
              <w:rPr>
                <w:rFonts w:asciiTheme="majorHAnsi" w:hAnsiTheme="majorHAnsi"/>
                <w:color w:val="000000"/>
                <w:lang w:val="en"/>
              </w:rPr>
              <w:t xml:space="preserve"> </w:t>
            </w:r>
            <w:r w:rsidRPr="00101B52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60F7F921" wp14:editId="241D495F">
                  <wp:extent cx="161925" cy="152400"/>
                  <wp:effectExtent l="0" t="0" r="9525" b="0"/>
                  <wp:docPr id="57" name="Picture 57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101B52" w:rsidTr="008F4C33">
        <w:trPr>
          <w:trHeight w:val="129"/>
        </w:trPr>
        <w:tc>
          <w:tcPr>
            <w:tcW w:w="1530" w:type="dxa"/>
          </w:tcPr>
          <w:p w:rsidR="00B22CA0" w:rsidRPr="00101B52" w:rsidRDefault="00B22CA0" w:rsidP="008F4C33">
            <w:pPr>
              <w:spacing w:after="0" w:line="240" w:lineRule="auto"/>
              <w:rPr>
                <w:rFonts w:asciiTheme="majorHAnsi" w:hAnsiTheme="majorHAnsi" w:cs="Arial"/>
                <w:b/>
                <w:lang w:val="en-GB"/>
              </w:rPr>
            </w:pPr>
            <w:r w:rsidRPr="00101B52">
              <w:rPr>
                <w:rFonts w:asciiTheme="majorHAnsi" w:hAnsiTheme="majorHAnsi" w:cs="Arial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B22CA0" w:rsidRPr="00101B52" w:rsidRDefault="00B22CA0" w:rsidP="00F401E4">
            <w:pPr>
              <w:shd w:val="clear" w:color="auto" w:fill="FFFFFF"/>
              <w:spacing w:before="30" w:after="30"/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</w:pPr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Commissioner </w:t>
            </w:r>
            <w:proofErr w:type="spellStart"/>
            <w:r w:rsidRPr="00101B52">
              <w:rPr>
                <w:rFonts w:asciiTheme="majorHAnsi" w:hAnsiTheme="majorHAnsi"/>
                <w:color w:val="000000"/>
                <w:lang w:val="en"/>
              </w:rPr>
              <w:t>Füle</w:t>
            </w:r>
            <w:proofErr w:type="spellEnd"/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 in European Parliament debate on </w:t>
            </w:r>
            <w:r w:rsidR="00F401E4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Serbia’s </w:t>
            </w:r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European integration process </w:t>
            </w:r>
            <w:r w:rsidRPr="00101B52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56048623" wp14:editId="069ABF24">
                  <wp:extent cx="159385" cy="148590"/>
                  <wp:effectExtent l="0" t="0" r="0" b="3810"/>
                  <wp:docPr id="41" name="Picture 41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101B52" w:rsidTr="008F4C33">
        <w:trPr>
          <w:trHeight w:val="129"/>
        </w:trPr>
        <w:tc>
          <w:tcPr>
            <w:tcW w:w="1530" w:type="dxa"/>
          </w:tcPr>
          <w:p w:rsidR="00B22CA0" w:rsidRPr="00101B52" w:rsidRDefault="00B22CA0" w:rsidP="008F4C33">
            <w:pPr>
              <w:spacing w:after="0" w:line="240" w:lineRule="auto"/>
              <w:rPr>
                <w:rFonts w:asciiTheme="majorHAnsi" w:hAnsiTheme="majorHAnsi" w:cs="Arial"/>
                <w:b/>
                <w:lang w:val="en-GB"/>
              </w:rPr>
            </w:pPr>
            <w:r w:rsidRPr="00101B52">
              <w:rPr>
                <w:rFonts w:asciiTheme="majorHAnsi" w:hAnsiTheme="majorHAnsi" w:cs="Arial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B22CA0" w:rsidRPr="00101B52" w:rsidRDefault="00B22CA0" w:rsidP="00F401E4">
            <w:pPr>
              <w:shd w:val="clear" w:color="auto" w:fill="FFFFFF"/>
              <w:spacing w:before="30" w:after="30"/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</w:pPr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Commissioner </w:t>
            </w:r>
            <w:proofErr w:type="spellStart"/>
            <w:r w:rsidRPr="00101B52">
              <w:rPr>
                <w:rFonts w:asciiTheme="majorHAnsi" w:hAnsiTheme="majorHAnsi"/>
                <w:color w:val="000000"/>
                <w:lang w:val="en"/>
              </w:rPr>
              <w:t>Füle</w:t>
            </w:r>
            <w:proofErr w:type="spellEnd"/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 in European Parliament debate on the resolution on </w:t>
            </w:r>
            <w:r w:rsidR="00F401E4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Montenegro’s </w:t>
            </w:r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progress report </w:t>
            </w:r>
            <w:r w:rsidRPr="00101B52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46868896" wp14:editId="3232BF2E">
                  <wp:extent cx="159385" cy="148590"/>
                  <wp:effectExtent l="0" t="0" r="0" b="3810"/>
                  <wp:docPr id="46" name="Picture 46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101B52" w:rsidTr="008F4C33">
        <w:trPr>
          <w:trHeight w:val="129"/>
        </w:trPr>
        <w:tc>
          <w:tcPr>
            <w:tcW w:w="1530" w:type="dxa"/>
          </w:tcPr>
          <w:p w:rsidR="00B22CA0" w:rsidRPr="00101B52" w:rsidRDefault="00B22CA0" w:rsidP="008F4C33">
            <w:pPr>
              <w:spacing w:after="0" w:line="240" w:lineRule="auto"/>
              <w:rPr>
                <w:rFonts w:asciiTheme="majorHAnsi" w:hAnsiTheme="majorHAnsi" w:cs="Arial"/>
                <w:b/>
                <w:lang w:val="en-GB"/>
              </w:rPr>
            </w:pPr>
            <w:r w:rsidRPr="00101B52">
              <w:rPr>
                <w:rFonts w:asciiTheme="majorHAnsi" w:hAnsiTheme="majorHAnsi" w:cs="Arial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B22CA0" w:rsidRPr="00101B52" w:rsidRDefault="00B22CA0" w:rsidP="008F4C33">
            <w:pPr>
              <w:shd w:val="clear" w:color="auto" w:fill="FFFFFF"/>
              <w:spacing w:before="30" w:after="30"/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</w:pPr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Commissioner </w:t>
            </w:r>
            <w:proofErr w:type="spellStart"/>
            <w:r w:rsidRPr="00101B52">
              <w:rPr>
                <w:rFonts w:asciiTheme="majorHAnsi" w:hAnsiTheme="majorHAnsi"/>
                <w:color w:val="000000"/>
                <w:lang w:val="en"/>
              </w:rPr>
              <w:t>Füle</w:t>
            </w:r>
            <w:proofErr w:type="spellEnd"/>
            <w:r w:rsidRPr="00101B52">
              <w:rPr>
                <w:rStyle w:val="enhancedlinksboxtitle2"/>
                <w:rFonts w:asciiTheme="majorHAnsi" w:hAnsiTheme="majorHAnsi" w:cs="Arial"/>
                <w:b w:val="0"/>
                <w:bCs w:val="0"/>
                <w:lang w:val="en-GB"/>
              </w:rPr>
              <w:t xml:space="preserve"> in European Parliament on renewed efforts to bring the process forward for Turkey </w:t>
            </w:r>
            <w:r w:rsidRPr="00101B52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4AF3A593" wp14:editId="0023E401">
                  <wp:extent cx="159385" cy="148590"/>
                  <wp:effectExtent l="0" t="0" r="0" b="3810"/>
                  <wp:docPr id="44" name="Picture 44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5468F0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30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Second meeting of the accession conference with Iceland at deputy level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BEEA78B" wp14:editId="0D9E6DA5">
                  <wp:extent cx="159385" cy="148590"/>
                  <wp:effectExtent l="0" t="0" r="0" b="3810"/>
                  <wp:docPr id="47" name="Picture 47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101B52" w:rsidTr="008F4C33">
        <w:trPr>
          <w:trHeight w:val="129"/>
        </w:trPr>
        <w:tc>
          <w:tcPr>
            <w:tcW w:w="1530" w:type="dxa"/>
          </w:tcPr>
          <w:p w:rsidR="00B22CA0" w:rsidRPr="00101B52" w:rsidRDefault="00B22CA0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101B52">
              <w:rPr>
                <w:rFonts w:ascii="Cambria" w:hAnsi="Cambria" w:cs="Arial"/>
                <w:b/>
                <w:lang w:val="en-GB"/>
              </w:rPr>
              <w:t>30 March</w:t>
            </w:r>
          </w:p>
        </w:tc>
        <w:tc>
          <w:tcPr>
            <w:tcW w:w="7848" w:type="dxa"/>
          </w:tcPr>
          <w:p w:rsidR="00B22CA0" w:rsidRPr="00101B52" w:rsidRDefault="00B22CA0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101B52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European Parliament to welcome Croatian “observer” members </w:t>
            </w:r>
            <w:r w:rsidRPr="00101B52">
              <w:rPr>
                <w:rFonts w:ascii="Cambria" w:hAnsi="Cambria"/>
                <w:bCs/>
                <w:noProof/>
              </w:rPr>
              <w:drawing>
                <wp:inline distT="0" distB="0" distL="0" distR="0" wp14:anchorId="11E11542" wp14:editId="02F92EF1">
                  <wp:extent cx="159385" cy="148590"/>
                  <wp:effectExtent l="0" t="0" r="0" b="3810"/>
                  <wp:docPr id="48" name="Picture 48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Pr="005468F0" w:rsidRDefault="00B22CA0" w:rsidP="00B22CA0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101B52" w:rsidTr="008F4C33">
        <w:trPr>
          <w:trHeight w:val="129"/>
        </w:trPr>
        <w:tc>
          <w:tcPr>
            <w:tcW w:w="1530" w:type="dxa"/>
          </w:tcPr>
          <w:p w:rsidR="00B22CA0" w:rsidRPr="00101B52" w:rsidRDefault="00B22CA0" w:rsidP="008F4C33">
            <w:pPr>
              <w:spacing w:after="0" w:line="240" w:lineRule="auto"/>
              <w:rPr>
                <w:rFonts w:asciiTheme="majorHAnsi" w:hAnsiTheme="majorHAnsi"/>
                <w:b/>
                <w:lang w:val="en-GB"/>
              </w:rPr>
            </w:pPr>
            <w:r w:rsidRPr="00101B52">
              <w:rPr>
                <w:rFonts w:asciiTheme="majorHAnsi" w:hAnsiTheme="majorHAnsi"/>
                <w:b/>
                <w:lang w:val="en-GB"/>
              </w:rPr>
              <w:t>19 March</w:t>
            </w:r>
          </w:p>
        </w:tc>
        <w:tc>
          <w:tcPr>
            <w:tcW w:w="7848" w:type="dxa"/>
          </w:tcPr>
          <w:p w:rsidR="00B22CA0" w:rsidRPr="00101B52" w:rsidRDefault="00B22CA0" w:rsidP="008F4C33">
            <w:pPr>
              <w:pStyle w:val="Heading1"/>
              <w:jc w:val="both"/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</w:pP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Commissioner </w:t>
            </w:r>
            <w:proofErr w:type="spellStart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>Füle</w:t>
            </w:r>
            <w:proofErr w:type="spellEnd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on more intense cooperation with Algeria </w:t>
            </w:r>
            <w:r w:rsidRPr="00101B52"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drawing>
                <wp:inline distT="0" distB="0" distL="0" distR="0" wp14:anchorId="58595D96" wp14:editId="7768280B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03AB3" w:rsidRPr="00AF6EAD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WIDER EUROPE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003AB3" w:rsidRPr="00AF6EAD" w:rsidTr="00B90713">
        <w:trPr>
          <w:trHeight w:val="129"/>
        </w:trPr>
        <w:tc>
          <w:tcPr>
            <w:tcW w:w="1530" w:type="dxa"/>
          </w:tcPr>
          <w:p w:rsidR="00003AB3" w:rsidRDefault="00003AB3" w:rsidP="00B9071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003AB3" w:rsidRDefault="00003AB3" w:rsidP="000B11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 Decision 2012/170/CFSP amending Decision 2010/573/CFSP concerning restrictive measures against the leadership of the </w:t>
            </w:r>
            <w:proofErr w:type="spellStart"/>
            <w:r>
              <w:rPr>
                <w:rFonts w:asciiTheme="majorHAnsi" w:hAnsiTheme="majorHAnsi"/>
              </w:rPr>
              <w:t>Transnistrian</w:t>
            </w:r>
            <w:proofErr w:type="spellEnd"/>
            <w:r>
              <w:rPr>
                <w:rFonts w:asciiTheme="majorHAnsi" w:hAnsiTheme="majorHAnsi"/>
              </w:rPr>
              <w:t xml:space="preserve"> region of Moldova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8AA7C85" wp14:editId="5F77B50F">
                  <wp:extent cx="161925" cy="152400"/>
                  <wp:effectExtent l="0" t="0" r="9525" b="0"/>
                  <wp:docPr id="64" name="Picture 64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CB9" w:rsidRPr="00101B52" w:rsidTr="00341CB9">
        <w:trPr>
          <w:trHeight w:val="129"/>
        </w:trPr>
        <w:tc>
          <w:tcPr>
            <w:tcW w:w="1530" w:type="dxa"/>
          </w:tcPr>
          <w:p w:rsidR="00341CB9" w:rsidRPr="00101B52" w:rsidRDefault="00341CB9" w:rsidP="00341CB9">
            <w:pPr>
              <w:spacing w:after="0" w:line="240" w:lineRule="auto"/>
              <w:rPr>
                <w:rFonts w:asciiTheme="majorHAnsi" w:hAnsiTheme="majorHAnsi"/>
                <w:b/>
                <w:lang w:val="en-GB"/>
              </w:rPr>
            </w:pPr>
            <w:r w:rsidRPr="00101B52">
              <w:rPr>
                <w:rFonts w:asciiTheme="majorHAnsi" w:hAnsiTheme="majorHAnsi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341CB9" w:rsidRPr="00101B52" w:rsidRDefault="00341CB9" w:rsidP="000B115C">
            <w:pPr>
              <w:pStyle w:val="Heading1"/>
              <w:jc w:val="both"/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</w:pP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Council conclusions on Belarus </w:t>
            </w:r>
            <w:r w:rsidRPr="00101B52"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drawing>
                <wp:inline distT="0" distB="0" distL="0" distR="0" wp14:anchorId="73AB17C6" wp14:editId="05BC0629">
                  <wp:extent cx="159385" cy="148590"/>
                  <wp:effectExtent l="0" t="0" r="0" b="3810"/>
                  <wp:docPr id="38" name="Picture 38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Factsheet on the EU and Belarus </w:t>
            </w:r>
            <w:r w:rsidRPr="00101B52"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drawing>
                <wp:inline distT="0" distB="0" distL="0" distR="0" wp14:anchorId="194516DB" wp14:editId="0A8A9FBC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Council implementing Regulation 265/2012/EU implementing Article </w:t>
            </w:r>
            <w:proofErr w:type="gramStart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>8a(</w:t>
            </w:r>
            <w:proofErr w:type="gramEnd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1) of Regulation 765/2006/EC concerning restrictive measures in respect of Belarus </w:t>
            </w:r>
            <w:r w:rsidRPr="00101B52"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drawing>
                <wp:inline distT="0" distB="0" distL="0" distR="0" wp14:anchorId="35859C3C" wp14:editId="61C77938">
                  <wp:extent cx="161925" cy="152400"/>
                  <wp:effectExtent l="0" t="0" r="9525" b="0"/>
                  <wp:docPr id="63" name="Picture 63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</w:tr>
      <w:tr w:rsidR="00341CB9" w:rsidRPr="00101B52" w:rsidTr="00341CB9">
        <w:trPr>
          <w:trHeight w:val="129"/>
        </w:trPr>
        <w:tc>
          <w:tcPr>
            <w:tcW w:w="1530" w:type="dxa"/>
          </w:tcPr>
          <w:p w:rsidR="00341CB9" w:rsidRPr="00101B52" w:rsidRDefault="00341CB9" w:rsidP="00341CB9">
            <w:pPr>
              <w:spacing w:after="0" w:line="240" w:lineRule="auto"/>
              <w:rPr>
                <w:rFonts w:asciiTheme="majorHAnsi" w:hAnsiTheme="majorHAnsi"/>
                <w:b/>
                <w:lang w:val="en-GB"/>
              </w:rPr>
            </w:pPr>
            <w:r w:rsidRPr="00101B52">
              <w:rPr>
                <w:rFonts w:asciiTheme="majorHAnsi" w:hAnsiTheme="majorHAnsi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341CB9" w:rsidRPr="00101B52" w:rsidRDefault="00341CB9" w:rsidP="00341CB9">
            <w:pPr>
              <w:pStyle w:val="Heading1"/>
              <w:jc w:val="both"/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</w:pP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Commissioner </w:t>
            </w:r>
            <w:proofErr w:type="spellStart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>Füle</w:t>
            </w:r>
            <w:proofErr w:type="spellEnd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officially launches Kosovo feasibility study on Stability and Association Agreement </w:t>
            </w:r>
            <w:r w:rsidRPr="00101B52"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drawing>
                <wp:inline distT="0" distB="0" distL="0" distR="0" wp14:anchorId="5FFA9BB7" wp14:editId="2C3497F2">
                  <wp:extent cx="159385" cy="148590"/>
                  <wp:effectExtent l="0" t="0" r="0" b="3810"/>
                  <wp:docPr id="45" name="Picture 45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6E" w:rsidRPr="00101B52" w:rsidTr="00224B61">
        <w:trPr>
          <w:trHeight w:val="129"/>
        </w:trPr>
        <w:tc>
          <w:tcPr>
            <w:tcW w:w="1530" w:type="dxa"/>
          </w:tcPr>
          <w:p w:rsidR="0025606E" w:rsidRPr="00101B52" w:rsidRDefault="0025606E" w:rsidP="00224B61">
            <w:pPr>
              <w:spacing w:after="0" w:line="240" w:lineRule="auto"/>
              <w:rPr>
                <w:rFonts w:asciiTheme="majorHAnsi" w:hAnsiTheme="majorHAnsi"/>
                <w:b/>
                <w:lang w:val="en-GB"/>
              </w:rPr>
            </w:pPr>
            <w:r w:rsidRPr="00101B52">
              <w:rPr>
                <w:rFonts w:asciiTheme="majorHAnsi" w:hAnsiTheme="majorHAnsi"/>
                <w:b/>
                <w:lang w:val="en-GB"/>
              </w:rPr>
              <w:t>29 March</w:t>
            </w:r>
          </w:p>
        </w:tc>
        <w:tc>
          <w:tcPr>
            <w:tcW w:w="7848" w:type="dxa"/>
          </w:tcPr>
          <w:p w:rsidR="0025606E" w:rsidRPr="00101B52" w:rsidRDefault="0025606E" w:rsidP="00224B61">
            <w:pPr>
              <w:pStyle w:val="Heading1"/>
              <w:jc w:val="both"/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</w:pP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Commissioner </w:t>
            </w:r>
            <w:proofErr w:type="spellStart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>Füle</w:t>
            </w:r>
            <w:proofErr w:type="spellEnd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launches European dialogue on </w:t>
            </w:r>
            <w:proofErr w:type="spellStart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>modernisation</w:t>
            </w:r>
            <w:proofErr w:type="spellEnd"/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in Belarus </w:t>
            </w:r>
            <w:r w:rsidRPr="00101B52">
              <w:rPr>
                <w:rFonts w:asciiTheme="majorHAnsi" w:hAnsiTheme="majorHAnsi"/>
                <w:bCs w:val="0"/>
                <w:noProof/>
                <w:sz w:val="22"/>
                <w:szCs w:val="22"/>
              </w:rPr>
              <w:drawing>
                <wp:inline distT="0" distB="0" distL="0" distR="0" wp14:anchorId="4A93A6A2" wp14:editId="1D6C6F84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B52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</w:tr>
      <w:tr w:rsidR="00003AB3" w:rsidRPr="00AF6EAD" w:rsidTr="00B90713">
        <w:trPr>
          <w:trHeight w:val="129"/>
        </w:trPr>
        <w:tc>
          <w:tcPr>
            <w:tcW w:w="1530" w:type="dxa"/>
          </w:tcPr>
          <w:p w:rsidR="00003AB3" w:rsidRDefault="00003AB3" w:rsidP="00B9071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lastRenderedPageBreak/>
              <w:t>30 March</w:t>
            </w:r>
          </w:p>
        </w:tc>
        <w:tc>
          <w:tcPr>
            <w:tcW w:w="7848" w:type="dxa"/>
          </w:tcPr>
          <w:p w:rsidR="00003AB3" w:rsidRDefault="00003AB3" w:rsidP="00B907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EU and Ukraine initial text to Association Agreement, including deep and comprehensive free trade area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C722931" wp14:editId="32A3143E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Pr="00AF6EAD" w:rsidRDefault="00B22CA0" w:rsidP="00B22CA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AF6EAD" w:rsidTr="00DF005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Euro area statistics on external trade deficit 7.6 billion euro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B81B2F1" wp14:editId="09BA751C">
                  <wp:extent cx="161925" cy="152400"/>
                  <wp:effectExtent l="0" t="0" r="9525" b="0"/>
                  <wp:docPr id="51" name="Picture 51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DF0053">
        <w:trPr>
          <w:trHeight w:val="129"/>
        </w:trPr>
        <w:tc>
          <w:tcPr>
            <w:tcW w:w="1530" w:type="dxa"/>
          </w:tcPr>
          <w:p w:rsidR="00B22CA0" w:rsidRPr="00F73448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22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Commissioner De </w:t>
            </w:r>
            <w:proofErr w:type="spellStart"/>
            <w:r>
              <w:rPr>
                <w:rFonts w:asciiTheme="majorHAnsi" w:hAnsiTheme="majorHAnsi"/>
                <w:bCs/>
              </w:rPr>
              <w:t>Gucht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on EU-US cooperation for recovery at </w:t>
            </w:r>
            <w:proofErr w:type="spellStart"/>
            <w:r>
              <w:rPr>
                <w:rFonts w:asciiTheme="majorHAnsi" w:hAnsiTheme="majorHAnsi"/>
                <w:bCs/>
              </w:rPr>
              <w:t>AmCham</w:t>
            </w:r>
            <w:proofErr w:type="spellEnd"/>
            <w:r>
              <w:rPr>
                <w:rFonts w:asciiTheme="majorHAnsi" w:hAnsiTheme="majorHAnsi"/>
                <w:bCs/>
              </w:rPr>
              <w:t xml:space="preserve"> EU Transatlantic Conference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12B776E" wp14:editId="0B91A303">
                  <wp:extent cx="159385" cy="148590"/>
                  <wp:effectExtent l="0" t="0" r="0" b="3810"/>
                  <wp:docPr id="32" name="Picture 32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DF005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26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Council approves conclusion of Euro-Mediterranean convention on preferential rules of origin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D275AB7" wp14:editId="19D01A44">
                  <wp:extent cx="159385" cy="148590"/>
                  <wp:effectExtent l="0" t="0" r="0" b="3810"/>
                  <wp:docPr id="40" name="Picture 40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DF005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International Trade Committee of the European Parliament rejects ACTA referral to the ECJ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F8C58E0" wp14:editId="263A6FBB">
                  <wp:extent cx="159385" cy="148590"/>
                  <wp:effectExtent l="0" t="0" r="0" b="3810"/>
                  <wp:docPr id="39" name="Picture 39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DF005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29 March</w:t>
            </w:r>
          </w:p>
        </w:tc>
        <w:tc>
          <w:tcPr>
            <w:tcW w:w="7848" w:type="dxa"/>
          </w:tcPr>
          <w:p w:rsidR="00B22CA0" w:rsidRPr="007D1168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EU-ASEAN meeting set to strengthen trade and investment relations with South-East Asia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ADD110E" wp14:editId="7DE421CB">
                  <wp:extent cx="159385" cy="148590"/>
                  <wp:effectExtent l="0" t="0" r="0" b="3810"/>
                  <wp:docPr id="49" name="Picture 49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985C9A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Agreement between EU and Georgia on the protection of geographical indications of agricultural products and foodstuffs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3F1758A" wp14:editId="5136EE4C">
                  <wp:extent cx="161925" cy="152400"/>
                  <wp:effectExtent l="0" t="0" r="9525" b="0"/>
                  <wp:docPr id="52" name="Picture 52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985C9A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31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EU and Vietnam move closer to starting trade negotiations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360B82B" wp14:editId="70862C4D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Pr="005468F0" w:rsidRDefault="00B22CA0" w:rsidP="00B22CA0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- WTO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5468F0" w:rsidTr="00A853F6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12 March</w:t>
            </w:r>
          </w:p>
        </w:tc>
        <w:tc>
          <w:tcPr>
            <w:tcW w:w="7848" w:type="dxa"/>
          </w:tcPr>
          <w:p w:rsidR="00B22CA0" w:rsidRPr="00FB16AD" w:rsidRDefault="00B22CA0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WTO finds that Boeing received billions in illegal subsidies from the US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498898F" wp14:editId="1AE22392">
                  <wp:extent cx="159385" cy="148590"/>
                  <wp:effectExtent l="0" t="0" r="0" b="3810"/>
                  <wp:docPr id="19" name="Picture 19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5468F0" w:rsidTr="00A853F6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13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EU challenges China’s rare earth export restrictions after WTO ruled in favour of EU against China’s export restraints on raw materials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07B4BD0" wp14:editId="4518581C">
                  <wp:extent cx="159385" cy="148590"/>
                  <wp:effectExtent l="0" t="0" r="0" b="3810"/>
                  <wp:docPr id="55" name="Picture 55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AF6EAD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65D76" w:rsidRPr="00AF6EAD" w:rsidTr="00827079">
        <w:trPr>
          <w:trHeight w:val="129"/>
        </w:trPr>
        <w:tc>
          <w:tcPr>
            <w:tcW w:w="1530" w:type="dxa"/>
          </w:tcPr>
          <w:p w:rsidR="00865D76" w:rsidRDefault="00865D76" w:rsidP="0082707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13 March</w:t>
            </w:r>
          </w:p>
        </w:tc>
        <w:tc>
          <w:tcPr>
            <w:tcW w:w="7848" w:type="dxa"/>
          </w:tcPr>
          <w:p w:rsidR="00865D76" w:rsidRPr="00C4666E" w:rsidRDefault="00F03928" w:rsidP="000B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Council Decision 20012/149/CFSP </w:t>
            </w:r>
            <w:r w:rsidR="00865D76">
              <w:rPr>
                <w:rFonts w:asciiTheme="majorHAnsi" w:hAnsiTheme="majorHAnsi" w:cs="Arial"/>
                <w:bCs/>
              </w:rPr>
              <w:t xml:space="preserve">amending Decision 2010/638/CFSP concerning restrictive measures against the Republic of Guinea </w:t>
            </w:r>
            <w:r w:rsidR="00865D76">
              <w:rPr>
                <w:rFonts w:ascii="Cambria" w:hAnsi="Cambria"/>
                <w:bCs/>
                <w:noProof/>
              </w:rPr>
              <w:drawing>
                <wp:inline distT="0" distB="0" distL="0" distR="0" wp14:anchorId="76D39999" wp14:editId="2EB86B8F">
                  <wp:extent cx="161925" cy="152400"/>
                  <wp:effectExtent l="0" t="0" r="9525" b="0"/>
                  <wp:docPr id="59" name="Picture 59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D76">
              <w:rPr>
                <w:rFonts w:asciiTheme="majorHAnsi" w:hAnsiTheme="majorHAnsi" w:cs="Arial"/>
                <w:bCs/>
              </w:rPr>
              <w:t xml:space="preserve"> </w:t>
            </w:r>
          </w:p>
        </w:tc>
      </w:tr>
      <w:tr w:rsidR="0076799E" w:rsidRPr="00AF6EAD" w:rsidTr="00827079">
        <w:trPr>
          <w:trHeight w:val="129"/>
        </w:trPr>
        <w:tc>
          <w:tcPr>
            <w:tcW w:w="1530" w:type="dxa"/>
          </w:tcPr>
          <w:p w:rsidR="0076799E" w:rsidRPr="00C4666E" w:rsidRDefault="00A74AD1" w:rsidP="0082707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15</w:t>
            </w:r>
            <w:r w:rsidR="0076799E" w:rsidRPr="00C4666E">
              <w:rPr>
                <w:rFonts w:asciiTheme="majorHAnsi" w:hAnsiTheme="majorHAnsi" w:cs="Arial"/>
                <w:b/>
                <w:lang w:val="en-GB"/>
              </w:rPr>
              <w:t xml:space="preserve"> March</w:t>
            </w:r>
          </w:p>
        </w:tc>
        <w:tc>
          <w:tcPr>
            <w:tcW w:w="7848" w:type="dxa"/>
          </w:tcPr>
          <w:p w:rsidR="0076799E" w:rsidRPr="00C4666E" w:rsidRDefault="0076799E" w:rsidP="000B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 w:rsidRPr="00C4666E">
              <w:rPr>
                <w:rFonts w:asciiTheme="majorHAnsi" w:hAnsiTheme="majorHAnsi" w:cs="Arial"/>
                <w:bCs/>
              </w:rPr>
              <w:t>Council Decision 2012/1</w:t>
            </w:r>
            <w:r w:rsidR="00A74AD1">
              <w:rPr>
                <w:rFonts w:asciiTheme="majorHAnsi" w:hAnsiTheme="majorHAnsi" w:cs="Arial"/>
                <w:bCs/>
              </w:rPr>
              <w:t>52</w:t>
            </w:r>
            <w:r w:rsidRPr="00C4666E">
              <w:rPr>
                <w:rFonts w:asciiTheme="majorHAnsi" w:hAnsiTheme="majorHAnsi" w:cs="Arial"/>
                <w:bCs/>
              </w:rPr>
              <w:t xml:space="preserve">/CFSP </w:t>
            </w:r>
            <w:r w:rsidR="00A74AD1">
              <w:rPr>
                <w:rFonts w:asciiTheme="majorHAnsi" w:hAnsiTheme="majorHAnsi" w:cs="Arial"/>
                <w:bCs/>
              </w:rPr>
              <w:t xml:space="preserve">amending </w:t>
            </w:r>
            <w:r w:rsidRPr="00C4666E">
              <w:rPr>
                <w:rFonts w:asciiTheme="majorHAnsi" w:hAnsiTheme="majorHAnsi" w:cs="Arial"/>
                <w:bCs/>
              </w:rPr>
              <w:t>Decision 2010/</w:t>
            </w:r>
            <w:r w:rsidR="00A74AD1">
              <w:rPr>
                <w:rFonts w:asciiTheme="majorHAnsi" w:hAnsiTheme="majorHAnsi" w:cs="Arial"/>
                <w:bCs/>
              </w:rPr>
              <w:t>413</w:t>
            </w:r>
            <w:r w:rsidRPr="00C4666E">
              <w:rPr>
                <w:rFonts w:asciiTheme="majorHAnsi" w:hAnsiTheme="majorHAnsi" w:cs="Arial"/>
                <w:bCs/>
              </w:rPr>
              <w:t xml:space="preserve">/CFSP </w:t>
            </w:r>
            <w:r w:rsidR="00A74AD1">
              <w:rPr>
                <w:rFonts w:asciiTheme="majorHAnsi" w:hAnsiTheme="majorHAnsi" w:cs="Arial"/>
                <w:bCs/>
              </w:rPr>
              <w:t xml:space="preserve">concerning </w:t>
            </w:r>
            <w:r w:rsidRPr="00C4666E">
              <w:rPr>
                <w:rFonts w:asciiTheme="majorHAnsi" w:hAnsiTheme="majorHAnsi" w:cs="Arial"/>
                <w:bCs/>
              </w:rPr>
              <w:t xml:space="preserve">restrictive measures against </w:t>
            </w:r>
            <w:r w:rsidR="00A74AD1">
              <w:rPr>
                <w:rFonts w:asciiTheme="majorHAnsi" w:hAnsiTheme="majorHAnsi" w:cs="Arial"/>
                <w:bCs/>
              </w:rPr>
              <w:t xml:space="preserve">Iran </w:t>
            </w:r>
            <w:r w:rsidR="00A74AD1">
              <w:rPr>
                <w:rFonts w:ascii="Cambria" w:hAnsi="Cambria"/>
                <w:bCs/>
                <w:noProof/>
              </w:rPr>
              <w:drawing>
                <wp:inline distT="0" distB="0" distL="0" distR="0" wp14:anchorId="0D7D1C90" wp14:editId="13BD779D">
                  <wp:extent cx="159385" cy="148590"/>
                  <wp:effectExtent l="0" t="0" r="0" b="3810"/>
                  <wp:docPr id="17" name="Picture 17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286" w:rsidRPr="00AF6EAD" w:rsidTr="00DF0053">
        <w:trPr>
          <w:trHeight w:val="12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86" w:rsidRDefault="00423286" w:rsidP="00DF005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19 March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286" w:rsidRPr="00DF0053" w:rsidRDefault="00F03928" w:rsidP="000B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Council Decision 2012/158/CFSP </w:t>
            </w:r>
            <w:r w:rsidR="00423286">
              <w:rPr>
                <w:rFonts w:asciiTheme="majorHAnsi" w:hAnsiTheme="majorHAnsi" w:cs="Arial"/>
                <w:bCs/>
              </w:rPr>
              <w:t xml:space="preserve">amending Decision 2011/173/CFSP concerning restrictive measures in view of the situation in Bosnia and Herzegovina </w:t>
            </w:r>
            <w:r w:rsidR="00423286">
              <w:rPr>
                <w:rFonts w:ascii="Cambria" w:hAnsi="Cambria"/>
                <w:bCs/>
                <w:noProof/>
              </w:rPr>
              <w:drawing>
                <wp:inline distT="0" distB="0" distL="0" distR="0" wp14:anchorId="4B0848E3" wp14:editId="17E10470">
                  <wp:extent cx="161925" cy="152400"/>
                  <wp:effectExtent l="0" t="0" r="9525" b="0"/>
                  <wp:docPr id="60" name="Picture 60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AC" w:rsidRPr="005468F0" w:rsidTr="00B90713">
        <w:trPr>
          <w:trHeight w:val="129"/>
        </w:trPr>
        <w:tc>
          <w:tcPr>
            <w:tcW w:w="1530" w:type="dxa"/>
          </w:tcPr>
          <w:p w:rsidR="00D95BAC" w:rsidRDefault="00D95BAC" w:rsidP="00B9071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D95BAC" w:rsidRDefault="00D95BAC" w:rsidP="000B115C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Council tightens sanctions against Iran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6DFC827" wp14:editId="420E537D">
                  <wp:extent cx="161925" cy="152400"/>
                  <wp:effectExtent l="0" t="0" r="9525" b="0"/>
                  <wp:docPr id="54" name="Picture 54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Council Decision 2012/169/CFSP amending Decision 2010/413/CFSP concerning restrictive measures directed against Iran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0C6727C" wp14:editId="3822FC67">
                  <wp:extent cx="161925" cy="152400"/>
                  <wp:effectExtent l="0" t="0" r="9525" b="0"/>
                  <wp:docPr id="61" name="Picture 61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9F2" w:rsidRPr="005468F0" w:rsidTr="00341CB9">
        <w:trPr>
          <w:trHeight w:val="129"/>
        </w:trPr>
        <w:tc>
          <w:tcPr>
            <w:tcW w:w="1530" w:type="dxa"/>
          </w:tcPr>
          <w:p w:rsidR="000569F2" w:rsidRDefault="000569F2" w:rsidP="00341CB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0569F2" w:rsidRDefault="000569F2" w:rsidP="00341CB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The EU deploys an expert team for the by-elections in Myanmar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0E292A6" wp14:editId="2F20BA2E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053" w:rsidRPr="00AF6EAD" w:rsidTr="00DF0053">
        <w:trPr>
          <w:trHeight w:val="12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53" w:rsidRPr="00C34BA9" w:rsidRDefault="00DF0053" w:rsidP="00DF005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ECJ Judgment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53" w:rsidRPr="00DF0053" w:rsidRDefault="00DF0053" w:rsidP="00431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Cs/>
              </w:rPr>
            </w:pPr>
            <w:r w:rsidRPr="00DF0053">
              <w:rPr>
                <w:rFonts w:asciiTheme="majorHAnsi" w:hAnsiTheme="majorHAnsi" w:cs="Arial"/>
                <w:bCs/>
              </w:rPr>
              <w:t>ECJ judgment on restrictive measures against Myanmar</w:t>
            </w:r>
            <w:r w:rsidR="004317D9">
              <w:rPr>
                <w:rFonts w:asciiTheme="majorHAnsi" w:hAnsiTheme="majorHAnsi" w:cs="Arial"/>
                <w:bCs/>
              </w:rPr>
              <w:t xml:space="preserve"> (sanctions cannot be applied to natural persons solely on grounds of family connections) </w:t>
            </w:r>
            <w:r w:rsidRPr="00DF0053">
              <w:rPr>
                <w:rFonts w:asciiTheme="majorHAnsi" w:hAnsiTheme="majorHAnsi" w:cs="Arial"/>
                <w:bCs/>
              </w:rPr>
              <w:t xml:space="preserve"> </w:t>
            </w:r>
            <w:r w:rsidRPr="00DF0053">
              <w:rPr>
                <w:rFonts w:asciiTheme="majorHAnsi" w:hAnsiTheme="majorHAnsi" w:cs="Arial"/>
                <w:bCs/>
                <w:noProof/>
              </w:rPr>
              <w:drawing>
                <wp:inline distT="0" distB="0" distL="0" distR="0" wp14:anchorId="4AB9D783" wp14:editId="568D9F32">
                  <wp:extent cx="159385" cy="148590"/>
                  <wp:effectExtent l="0" t="0" r="0" b="3810"/>
                  <wp:docPr id="15" name="Picture 15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053">
              <w:rPr>
                <w:rFonts w:asciiTheme="majorHAnsi" w:hAnsiTheme="majorHAnsi" w:cs="Arial"/>
                <w:bCs/>
              </w:rPr>
              <w:t xml:space="preserve"> Full version of the judgment </w:t>
            </w:r>
            <w:r w:rsidRPr="00DF0053">
              <w:rPr>
                <w:rFonts w:asciiTheme="majorHAnsi" w:hAnsiTheme="majorHAnsi" w:cs="Arial"/>
                <w:bCs/>
                <w:noProof/>
              </w:rPr>
              <w:drawing>
                <wp:inline distT="0" distB="0" distL="0" distR="0" wp14:anchorId="12211C81" wp14:editId="1B4F4473">
                  <wp:extent cx="159385" cy="148590"/>
                  <wp:effectExtent l="0" t="0" r="0" b="3810"/>
                  <wp:docPr id="16" name="Picture 16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Default="0076799E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5606E" w:rsidRPr="00AF6EAD" w:rsidRDefault="0025606E" w:rsidP="0025606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25606E" w:rsidRPr="00AF6EAD" w:rsidTr="00224B61">
        <w:trPr>
          <w:trHeight w:val="129"/>
        </w:trPr>
        <w:tc>
          <w:tcPr>
            <w:tcW w:w="1530" w:type="dxa"/>
          </w:tcPr>
          <w:p w:rsidR="0025606E" w:rsidRPr="00AF6EAD" w:rsidRDefault="0025606E" w:rsidP="00224B6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22 March</w:t>
            </w:r>
          </w:p>
        </w:tc>
        <w:tc>
          <w:tcPr>
            <w:tcW w:w="7848" w:type="dxa"/>
          </w:tcPr>
          <w:p w:rsidR="0025606E" w:rsidRPr="00AF6EAD" w:rsidRDefault="0025606E" w:rsidP="00224B61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Council Conclusions on pooling and sharing of military capabilities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6A8208B" wp14:editId="1AF528CC">
                  <wp:extent cx="159385" cy="148590"/>
                  <wp:effectExtent l="0" t="0" r="0" b="3810"/>
                  <wp:docPr id="33" name="Picture 33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6E" w:rsidRPr="005468F0" w:rsidTr="00224B61">
        <w:trPr>
          <w:trHeight w:val="129"/>
        </w:trPr>
        <w:tc>
          <w:tcPr>
            <w:tcW w:w="1530" w:type="dxa"/>
          </w:tcPr>
          <w:p w:rsidR="0025606E" w:rsidRDefault="0025606E" w:rsidP="00224B61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25606E" w:rsidRDefault="0025606E" w:rsidP="000B115C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Council Decision 2012/174/CFSP amending Joint-Action 2008/851/CFSP on a European Union military operation to contribute to the deterrence, prevention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lastRenderedPageBreak/>
              <w:t xml:space="preserve">and repression of acts of piracy and armed robbery off the Somali coast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AB25026" wp14:editId="15B979EE">
                  <wp:extent cx="161925" cy="152400"/>
                  <wp:effectExtent l="0" t="0" r="9525" b="0"/>
                  <wp:docPr id="58" name="Picture 58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6E" w:rsidRPr="00AF6EAD" w:rsidTr="00224B61">
        <w:trPr>
          <w:trHeight w:val="129"/>
        </w:trPr>
        <w:tc>
          <w:tcPr>
            <w:tcW w:w="1530" w:type="dxa"/>
          </w:tcPr>
          <w:p w:rsidR="0025606E" w:rsidRDefault="0025606E" w:rsidP="00224B61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lastRenderedPageBreak/>
              <w:t>23 March</w:t>
            </w:r>
          </w:p>
        </w:tc>
        <w:tc>
          <w:tcPr>
            <w:tcW w:w="7848" w:type="dxa"/>
          </w:tcPr>
          <w:p w:rsidR="0025606E" w:rsidRPr="00C4666E" w:rsidRDefault="0025606E" w:rsidP="000B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Council Decision 2012/173/CFSP on the activation of the EU Operations Center for the Common Security and </w:t>
            </w:r>
            <w:proofErr w:type="spellStart"/>
            <w:r>
              <w:rPr>
                <w:rFonts w:asciiTheme="majorHAnsi" w:hAnsiTheme="majorHAnsi" w:cs="Arial"/>
                <w:bCs/>
              </w:rPr>
              <w:t>Defence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Policy missions and operation in the Horn of Africa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D403293" wp14:editId="22E12F82">
                  <wp:extent cx="159385" cy="148590"/>
                  <wp:effectExtent l="0" t="0" r="0" b="3810"/>
                  <wp:docPr id="18" name="Picture 18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6E" w:rsidRPr="00101B52" w:rsidTr="00224B61">
        <w:trPr>
          <w:trHeight w:val="129"/>
        </w:trPr>
        <w:tc>
          <w:tcPr>
            <w:tcW w:w="1530" w:type="dxa"/>
          </w:tcPr>
          <w:p w:rsidR="0025606E" w:rsidRPr="00101B52" w:rsidRDefault="0025606E" w:rsidP="00224B61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101B52">
              <w:rPr>
                <w:rFonts w:ascii="Cambria" w:hAnsi="Cambria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25606E" w:rsidRPr="00101B52" w:rsidRDefault="0025606E" w:rsidP="00224B61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 w:rsidRPr="00101B52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Council extends EU counter-piracy operation </w:t>
            </w:r>
            <w:proofErr w:type="spellStart"/>
            <w:r w:rsidRPr="00101B52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>Atalanta</w:t>
            </w:r>
            <w:proofErr w:type="spellEnd"/>
            <w:r w:rsidRPr="00101B52"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 </w:t>
            </w:r>
            <w:r w:rsidRPr="00101B52">
              <w:rPr>
                <w:rFonts w:ascii="Cambria" w:hAnsi="Cambria"/>
                <w:b/>
                <w:bCs/>
                <w:noProof/>
              </w:rPr>
              <w:drawing>
                <wp:inline distT="0" distB="0" distL="0" distR="0" wp14:anchorId="4A47D5C5" wp14:editId="40E0CD38">
                  <wp:extent cx="163472" cy="152400"/>
                  <wp:effectExtent l="0" t="0" r="8255" b="0"/>
                  <wp:docPr id="36" name="Picture 36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8" cy="15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06E" w:rsidRPr="005468F0" w:rsidTr="00224B61">
        <w:trPr>
          <w:trHeight w:val="129"/>
        </w:trPr>
        <w:tc>
          <w:tcPr>
            <w:tcW w:w="1530" w:type="dxa"/>
          </w:tcPr>
          <w:p w:rsidR="0025606E" w:rsidRDefault="0025606E" w:rsidP="00224B61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EU Security and Defence news</w:t>
            </w:r>
          </w:p>
        </w:tc>
        <w:tc>
          <w:tcPr>
            <w:tcW w:w="7848" w:type="dxa"/>
          </w:tcPr>
          <w:p w:rsidR="0025606E" w:rsidRDefault="0025606E" w:rsidP="00224B61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Newsletter Issue 59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1DB0A30" wp14:editId="5B22B72A">
                  <wp:extent cx="161925" cy="152400"/>
                  <wp:effectExtent l="0" t="0" r="9525" b="0"/>
                  <wp:docPr id="71" name="Picture 71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606E" w:rsidRDefault="0025606E" w:rsidP="0025606E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Pr="00AF6EAD" w:rsidRDefault="00B22CA0" w:rsidP="00B22CA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AVATION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Pr="00F73448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22 </w:t>
            </w:r>
            <w:r w:rsidRPr="00F73448">
              <w:rPr>
                <w:rFonts w:asciiTheme="majorHAnsi" w:hAnsiTheme="majorHAnsi" w:cs="Arial"/>
                <w:b/>
                <w:lang w:val="en-GB"/>
              </w:rPr>
              <w:t>March</w:t>
            </w:r>
          </w:p>
        </w:tc>
        <w:tc>
          <w:tcPr>
            <w:tcW w:w="7848" w:type="dxa"/>
          </w:tcPr>
          <w:p w:rsidR="00B22CA0" w:rsidRPr="00F73448" w:rsidRDefault="00B22CA0" w:rsidP="008F4C3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EU-Israel aviation agreement; Israel joins Europe in aviation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6FF612A" wp14:editId="3E3F6FE2">
                  <wp:extent cx="159385" cy="148590"/>
                  <wp:effectExtent l="0" t="0" r="0" b="3810"/>
                  <wp:docPr id="4" name="Picture 4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Pr="00AF6EAD" w:rsidRDefault="00B22CA0" w:rsidP="00B22CA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22-23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Council conclusions on Sahel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EC1B594" wp14:editId="785FD62A">
                  <wp:extent cx="161925" cy="152400"/>
                  <wp:effectExtent l="0" t="0" r="9525" b="0"/>
                  <wp:docPr id="43" name="Picture 43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Pr="00AF6EAD" w:rsidRDefault="00B22CA0" w:rsidP="008F4C3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B22CA0" w:rsidRPr="00806FA7" w:rsidRDefault="00B22CA0" w:rsidP="008F4C33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EU suspends development aid to Mali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FA7FC93" wp14:editId="3A915BDC">
                  <wp:extent cx="159385" cy="148590"/>
                  <wp:effectExtent l="0" t="0" r="0" b="3810"/>
                  <wp:docPr id="37" name="Picture 37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Commission’s response to the food crisis and long-term food insecurity in the Sahel region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57DD332" wp14:editId="771C21EB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26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Letter from South Sudan on accession to the revised </w:t>
            </w:r>
            <w:proofErr w:type="spellStart"/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>Cotonou</w:t>
            </w:r>
            <w:proofErr w:type="spellEnd"/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 Partnership Agreement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D4E1ED9" wp14:editId="090222A8">
                  <wp:extent cx="161925" cy="152400"/>
                  <wp:effectExtent l="0" t="0" r="9525" b="0"/>
                  <wp:docPr id="65" name="Picture 65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EU development cooperation with Vietnam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1F846DF" wp14:editId="1CC3A990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European Court of Auditors</w:t>
            </w:r>
          </w:p>
          <w:p w:rsidR="00B22CA0" w:rsidRDefault="00B22CA0" w:rsidP="008F4C33">
            <w:pPr>
              <w:spacing w:after="0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Report</w:t>
            </w:r>
          </w:p>
        </w:tc>
        <w:tc>
          <w:tcPr>
            <w:tcW w:w="7848" w:type="dxa"/>
          </w:tcPr>
          <w:p w:rsidR="00B22CA0" w:rsidRDefault="00B22CA0" w:rsidP="008F4C33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Special report on effectiveness of European Union development aid for food security in sub-Saharan Africa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94CB6E8" wp14:editId="2F11A199">
                  <wp:extent cx="159385" cy="148590"/>
                  <wp:effectExtent l="0" t="0" r="0" b="3810"/>
                  <wp:docPr id="42" name="Picture 42" descr="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 Full report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27130B7" wp14:editId="5B66B6EB">
                  <wp:extent cx="161925" cy="152400"/>
                  <wp:effectExtent l="0" t="0" r="9525" b="0"/>
                  <wp:docPr id="72" name="Picture 72" descr="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Press Pack</w:t>
            </w:r>
          </w:p>
        </w:tc>
        <w:tc>
          <w:tcPr>
            <w:tcW w:w="7848" w:type="dxa"/>
          </w:tcPr>
          <w:p w:rsidR="00B22CA0" w:rsidRPr="007D1168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EU actions in Somalia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E84386E" wp14:editId="01758C63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853F6" w:rsidRPr="00AF6EAD" w:rsidRDefault="0022173B" w:rsidP="00A853F6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</w:t>
      </w:r>
      <w:r w:rsidR="00A853F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AFSJ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A853F6" w:rsidRPr="005468F0" w:rsidTr="00A853F6">
        <w:trPr>
          <w:trHeight w:val="129"/>
        </w:trPr>
        <w:tc>
          <w:tcPr>
            <w:tcW w:w="1530" w:type="dxa"/>
          </w:tcPr>
          <w:p w:rsidR="00A853F6" w:rsidRDefault="00A853F6" w:rsidP="00E423D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13 March</w:t>
            </w:r>
          </w:p>
        </w:tc>
        <w:tc>
          <w:tcPr>
            <w:tcW w:w="7848" w:type="dxa"/>
          </w:tcPr>
          <w:p w:rsidR="00A853F6" w:rsidRPr="00FB16AD" w:rsidRDefault="00A853F6" w:rsidP="00E423D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Ombudsman investigates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Frontex’s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fundamental rights implementation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E885B6A" wp14:editId="0027D132">
                  <wp:extent cx="159385" cy="148590"/>
                  <wp:effectExtent l="0" t="0" r="0" b="3810"/>
                  <wp:docPr id="29" name="Picture 29" descr="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C28" w:rsidRPr="00AF6EAD" w:rsidTr="00E423D9">
        <w:trPr>
          <w:trHeight w:val="129"/>
        </w:trPr>
        <w:tc>
          <w:tcPr>
            <w:tcW w:w="1530" w:type="dxa"/>
          </w:tcPr>
          <w:p w:rsidR="00EC3C28" w:rsidRDefault="00EC3C28" w:rsidP="00E423D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EC3C28" w:rsidRDefault="00EC3C28" w:rsidP="00E42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The number of asylum applicants registered in the EU27 rose to 301,000 in 2011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2911CFF" wp14:editId="64120E18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64A" w:rsidRPr="00AF6EAD" w:rsidTr="00E423D9">
        <w:trPr>
          <w:trHeight w:val="129"/>
        </w:trPr>
        <w:tc>
          <w:tcPr>
            <w:tcW w:w="1530" w:type="dxa"/>
          </w:tcPr>
          <w:p w:rsidR="0031064A" w:rsidRDefault="0031064A" w:rsidP="00E423D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29 March</w:t>
            </w:r>
          </w:p>
        </w:tc>
        <w:tc>
          <w:tcPr>
            <w:tcW w:w="7848" w:type="dxa"/>
          </w:tcPr>
          <w:p w:rsidR="0031064A" w:rsidRDefault="0031064A" w:rsidP="000B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Decision 281/2012/EU amending Decision 573/2007/EC establishing the European Refugee Fund for the period 2008-2013 as part of the general </w:t>
            </w:r>
            <w:proofErr w:type="spellStart"/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>programme</w:t>
            </w:r>
            <w:proofErr w:type="spellEnd"/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 “Solidarity and Management </w:t>
            </w:r>
            <w:r w:rsidR="00D85DA1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>of</w:t>
            </w: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 Migration flows”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C02EFD8" wp14:editId="07B7ED31">
                  <wp:extent cx="161925" cy="152400"/>
                  <wp:effectExtent l="0" t="0" r="9525" b="0"/>
                  <wp:docPr id="53" name="Picture 53" descr="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3F6" w:rsidRPr="00AF6EAD" w:rsidTr="00E423D9">
        <w:trPr>
          <w:trHeight w:val="129"/>
        </w:trPr>
        <w:tc>
          <w:tcPr>
            <w:tcW w:w="1530" w:type="dxa"/>
          </w:tcPr>
          <w:p w:rsidR="00A853F6" w:rsidRPr="00C4666E" w:rsidRDefault="002D1824" w:rsidP="00E423D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30 March</w:t>
            </w:r>
          </w:p>
        </w:tc>
        <w:tc>
          <w:tcPr>
            <w:tcW w:w="7848" w:type="dxa"/>
          </w:tcPr>
          <w:p w:rsidR="00A853F6" w:rsidRPr="00C4666E" w:rsidRDefault="002D1824" w:rsidP="00E423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Commission moves to boost social security rights for people migrating to and from the EU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A0E54F9" wp14:editId="52DEB03E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Default="0076799E" w:rsidP="0076799E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Pr="00AF6EAD" w:rsidRDefault="00B22CA0" w:rsidP="00B22CA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MIDDLE EAST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Pr="00AF6EAD" w:rsidRDefault="00B22CA0" w:rsidP="008F4C3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12 March</w:t>
            </w:r>
          </w:p>
        </w:tc>
        <w:tc>
          <w:tcPr>
            <w:tcW w:w="7848" w:type="dxa"/>
          </w:tcPr>
          <w:p w:rsidR="00B22CA0" w:rsidRPr="009E003E" w:rsidRDefault="00B22CA0" w:rsidP="008F4C33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 w:rsidRPr="009E003E">
              <w:rPr>
                <w:rFonts w:asciiTheme="majorHAnsi" w:hAnsiTheme="majorHAnsi"/>
                <w:color w:val="000000"/>
              </w:rPr>
              <w:t>Mid</w:t>
            </w:r>
            <w:r>
              <w:rPr>
                <w:rFonts w:asciiTheme="majorHAnsi" w:hAnsiTheme="majorHAnsi"/>
                <w:color w:val="000000"/>
              </w:rPr>
              <w:t>d</w:t>
            </w:r>
            <w:r w:rsidRPr="009E003E">
              <w:rPr>
                <w:rFonts w:asciiTheme="majorHAnsi" w:hAnsiTheme="majorHAnsi"/>
                <w:color w:val="000000"/>
              </w:rPr>
              <w:t>l</w:t>
            </w:r>
            <w:r>
              <w:rPr>
                <w:rFonts w:asciiTheme="majorHAnsi" w:hAnsiTheme="majorHAnsi"/>
                <w:color w:val="000000"/>
              </w:rPr>
              <w:t>e</w:t>
            </w:r>
            <w:r w:rsidRPr="009E003E">
              <w:rPr>
                <w:rFonts w:asciiTheme="majorHAnsi" w:hAnsiTheme="majorHAnsi"/>
                <w:color w:val="000000"/>
              </w:rPr>
              <w:t xml:space="preserve"> East </w:t>
            </w:r>
            <w:r>
              <w:rPr>
                <w:rFonts w:asciiTheme="majorHAnsi" w:hAnsiTheme="majorHAnsi"/>
                <w:color w:val="000000"/>
              </w:rPr>
              <w:t>Q</w:t>
            </w:r>
            <w:r w:rsidRPr="009E003E">
              <w:rPr>
                <w:rFonts w:asciiTheme="majorHAnsi" w:hAnsiTheme="majorHAnsi"/>
                <w:color w:val="000000"/>
              </w:rPr>
              <w:t xml:space="preserve">uartet </w:t>
            </w:r>
            <w:r>
              <w:rPr>
                <w:rFonts w:asciiTheme="majorHAnsi" w:hAnsiTheme="majorHAnsi"/>
                <w:color w:val="000000"/>
              </w:rPr>
              <w:t>s</w:t>
            </w:r>
            <w:r w:rsidRPr="009E003E">
              <w:rPr>
                <w:rFonts w:asciiTheme="majorHAnsi" w:hAnsiTheme="majorHAnsi"/>
                <w:color w:val="000000"/>
              </w:rPr>
              <w:t>tatement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D5B635E" wp14:editId="65FFFCB7">
                  <wp:extent cx="159385" cy="148590"/>
                  <wp:effectExtent l="0" t="0" r="0" b="3810"/>
                  <wp:docPr id="22" name="Picture 22" descr="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B22CA0" w:rsidRPr="009E003E" w:rsidRDefault="00B22CA0" w:rsidP="008F4C33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Council conclusions on Syria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88EE427" wp14:editId="0CD386AF">
                  <wp:extent cx="159385" cy="148590"/>
                  <wp:effectExtent l="0" t="0" r="0" b="3810"/>
                  <wp:docPr id="34" name="Picture 34" descr="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 March</w:t>
            </w:r>
          </w:p>
        </w:tc>
        <w:tc>
          <w:tcPr>
            <w:tcW w:w="7848" w:type="dxa"/>
          </w:tcPr>
          <w:p w:rsidR="00B22CA0" w:rsidRPr="009E003E" w:rsidRDefault="00B22CA0" w:rsidP="008F4C33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Council tightens EU sanctions against Syrian regime 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9E2AB3C" wp14:editId="77CFF775">
                  <wp:extent cx="159385" cy="148590"/>
                  <wp:effectExtent l="0" t="0" r="0" b="3810"/>
                  <wp:docPr id="35" name="Picture 35" descr="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Default="00B22CA0" w:rsidP="00B22CA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22CA0" w:rsidRPr="00AF6EAD" w:rsidRDefault="00B22CA0" w:rsidP="00B22CA0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KOREA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27 March</w:t>
            </w:r>
          </w:p>
        </w:tc>
        <w:tc>
          <w:tcPr>
            <w:tcW w:w="7848" w:type="dxa"/>
          </w:tcPr>
          <w:p w:rsidR="00B22CA0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Korea-EU Summit statistics on EU27 deficit of 4 billion euro in 2011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0553B78" wp14:editId="60D716BA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CA0" w:rsidRPr="00AF6EAD" w:rsidTr="008F4C33">
        <w:trPr>
          <w:trHeight w:val="129"/>
        </w:trPr>
        <w:tc>
          <w:tcPr>
            <w:tcW w:w="1530" w:type="dxa"/>
          </w:tcPr>
          <w:p w:rsidR="00B22CA0" w:rsidRDefault="00B22CA0" w:rsidP="008F4C3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28 March</w:t>
            </w:r>
          </w:p>
        </w:tc>
        <w:tc>
          <w:tcPr>
            <w:tcW w:w="7848" w:type="dxa"/>
          </w:tcPr>
          <w:p w:rsidR="00B22CA0" w:rsidRPr="007D1168" w:rsidRDefault="00B22CA0" w:rsidP="008F4C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Korea-EU Summit joint press statement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68FB6E3" wp14:editId="4267F81C">
                  <wp:extent cx="159385" cy="148590"/>
                  <wp:effectExtent l="0" t="0" r="0" b="3810"/>
                  <wp:docPr id="3" name="Picture 3" descr="ArticlesIcon1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CA0" w:rsidRDefault="00B22CA0" w:rsidP="00B22CA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5468F0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1728F" w:rsidRPr="005468F0" w:rsidTr="00985C9A">
        <w:trPr>
          <w:trHeight w:val="129"/>
        </w:trPr>
        <w:tc>
          <w:tcPr>
            <w:tcW w:w="1530" w:type="dxa"/>
          </w:tcPr>
          <w:p w:rsidR="0051728F" w:rsidRDefault="00985C9A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19 April </w:t>
            </w:r>
          </w:p>
        </w:tc>
        <w:tc>
          <w:tcPr>
            <w:tcW w:w="7848" w:type="dxa"/>
          </w:tcPr>
          <w:p w:rsidR="0051728F" w:rsidRDefault="00985C9A" w:rsidP="00985C9A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‘The experiences of the Poli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sh presidency of the Council of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the EU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in the field of EU external relations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Presentation organised by T.M.C. Asser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CLEER, and the Embassy of the Republic of Poland in The Hague, NL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9733814" wp14:editId="543B4290">
                  <wp:extent cx="161925" cy="152400"/>
                  <wp:effectExtent l="0" t="0" r="9525" b="0"/>
                  <wp:docPr id="73" name="Picture 73" descr="ArticlesIcon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8F" w:rsidRPr="005468F0" w:rsidTr="00985C9A">
        <w:trPr>
          <w:trHeight w:val="129"/>
        </w:trPr>
        <w:tc>
          <w:tcPr>
            <w:tcW w:w="1530" w:type="dxa"/>
          </w:tcPr>
          <w:p w:rsidR="0051728F" w:rsidRDefault="00985C9A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10-11 May</w:t>
            </w:r>
          </w:p>
        </w:tc>
        <w:tc>
          <w:tcPr>
            <w:tcW w:w="7848" w:type="dxa"/>
          </w:tcPr>
          <w:p w:rsidR="0051728F" w:rsidRDefault="00985C9A" w:rsidP="00985C9A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‘One year after the Arab Spring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: t</w:t>
            </w:r>
            <w:bookmarkStart w:id="0" w:name="_GoBack"/>
            <w:bookmarkEnd w:id="0"/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he EU’s relations with the Southern-Mediterranean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Conference organised by CLEER, Universidad Pablo de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Olavide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and the T.M.C. Asser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Seville, Spain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0756C5A" wp14:editId="33CA6A99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8F" w:rsidRPr="005468F0" w:rsidTr="00985C9A">
        <w:trPr>
          <w:trHeight w:val="129"/>
        </w:trPr>
        <w:tc>
          <w:tcPr>
            <w:tcW w:w="1530" w:type="dxa"/>
          </w:tcPr>
          <w:p w:rsidR="0051728F" w:rsidRDefault="00985C9A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 May</w:t>
            </w:r>
          </w:p>
        </w:tc>
        <w:tc>
          <w:tcPr>
            <w:tcW w:w="7848" w:type="dxa"/>
          </w:tcPr>
          <w:p w:rsidR="0051728F" w:rsidRDefault="00985C9A" w:rsidP="00F401E4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‘Human rights 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and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EU crisis management operations: a duty to respect and to protect?’ workshop organised by T.M.C. Asser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CLEER and NLDA, The Hague,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NL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0A5381E" wp14:editId="6D66C6C4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8F" w:rsidRPr="005468F0" w:rsidTr="00985C9A">
        <w:trPr>
          <w:trHeight w:val="129"/>
        </w:trPr>
        <w:tc>
          <w:tcPr>
            <w:tcW w:w="1530" w:type="dxa"/>
          </w:tcPr>
          <w:p w:rsidR="0051728F" w:rsidRDefault="00985C9A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19 June</w:t>
            </w:r>
          </w:p>
        </w:tc>
        <w:tc>
          <w:tcPr>
            <w:tcW w:w="7848" w:type="dxa"/>
          </w:tcPr>
          <w:p w:rsidR="0051728F" w:rsidRDefault="00985C9A" w:rsidP="00F401E4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‘Legal approximation and application of EU law in the Eastern neighbourhood of Europe’, Conference organised by Gent 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University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and CLEER, </w:t>
            </w:r>
            <w:r w:rsidR="00F40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Ghent,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4AD72E9" wp14:editId="0D1DFA7D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76799E" w:rsidRPr="005468F0" w:rsidRDefault="0076799E" w:rsidP="0076799E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5468F0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Pr="0076799E">
        <w:rPr>
          <w:rFonts w:ascii="Cambria" w:hAnsi="Cambria" w:cs="Arial"/>
          <w:sz w:val="16"/>
          <w:szCs w:val="16"/>
          <w:lang w:val="en-GB"/>
        </w:rPr>
        <w:t>Linda Kr</w:t>
      </w:r>
      <w:r w:rsidRPr="0076799E">
        <w:rPr>
          <w:snapToGrid w:val="0"/>
          <w:spacing w:val="-2"/>
          <w:sz w:val="16"/>
          <w:szCs w:val="16"/>
          <w:lang w:val="nl-NL"/>
        </w:rPr>
        <w:t>ӕ</w:t>
      </w:r>
      <w:proofErr w:type="spellStart"/>
      <w:r w:rsidRPr="0076799E">
        <w:rPr>
          <w:rFonts w:ascii="Cambria" w:hAnsi="Cambria" w:cs="Arial"/>
          <w:sz w:val="16"/>
          <w:szCs w:val="16"/>
          <w:lang w:val="en-GB"/>
        </w:rPr>
        <w:t>mer</w:t>
      </w:r>
      <w:proofErr w:type="spellEnd"/>
      <w:r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6F363E" w:rsidRDefault="006F363E"/>
    <w:sectPr w:rsidR="006F363E" w:rsidSect="00827079">
      <w:footerReference w:type="default" r:id="rId70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B9" w:rsidRDefault="00341CB9">
      <w:pPr>
        <w:spacing w:after="0" w:line="240" w:lineRule="auto"/>
      </w:pPr>
      <w:r>
        <w:separator/>
      </w:r>
    </w:p>
  </w:endnote>
  <w:endnote w:type="continuationSeparator" w:id="0">
    <w:p w:rsidR="00341CB9" w:rsidRDefault="0034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D4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B9" w:rsidRDefault="00341C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1E4">
      <w:rPr>
        <w:noProof/>
      </w:rPr>
      <w:t>1</w:t>
    </w:r>
    <w:r>
      <w:rPr>
        <w:noProof/>
      </w:rPr>
      <w:fldChar w:fldCharType="end"/>
    </w:r>
  </w:p>
  <w:p w:rsidR="00341CB9" w:rsidRDefault="00341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B9" w:rsidRDefault="00341CB9">
      <w:pPr>
        <w:spacing w:after="0" w:line="240" w:lineRule="auto"/>
      </w:pPr>
      <w:r>
        <w:separator/>
      </w:r>
    </w:p>
  </w:footnote>
  <w:footnote w:type="continuationSeparator" w:id="0">
    <w:p w:rsidR="00341CB9" w:rsidRDefault="0034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30E3"/>
    <w:rsid w:val="00003AB3"/>
    <w:rsid w:val="000569F2"/>
    <w:rsid w:val="000B115C"/>
    <w:rsid w:val="000D4E84"/>
    <w:rsid w:val="00101B52"/>
    <w:rsid w:val="001675D3"/>
    <w:rsid w:val="0022173B"/>
    <w:rsid w:val="00232E1D"/>
    <w:rsid w:val="0025606E"/>
    <w:rsid w:val="0026520D"/>
    <w:rsid w:val="002749A7"/>
    <w:rsid w:val="00287596"/>
    <w:rsid w:val="00297390"/>
    <w:rsid w:val="00297A55"/>
    <w:rsid w:val="002D1824"/>
    <w:rsid w:val="002F09BC"/>
    <w:rsid w:val="003028EE"/>
    <w:rsid w:val="003100E9"/>
    <w:rsid w:val="0031064A"/>
    <w:rsid w:val="00340AA0"/>
    <w:rsid w:val="00341CB9"/>
    <w:rsid w:val="00381A3F"/>
    <w:rsid w:val="00395592"/>
    <w:rsid w:val="004140AF"/>
    <w:rsid w:val="00423286"/>
    <w:rsid w:val="004317D9"/>
    <w:rsid w:val="00451358"/>
    <w:rsid w:val="00471DBE"/>
    <w:rsid w:val="00497D8E"/>
    <w:rsid w:val="004C6265"/>
    <w:rsid w:val="004E7861"/>
    <w:rsid w:val="004F6017"/>
    <w:rsid w:val="0051728F"/>
    <w:rsid w:val="005A1BCF"/>
    <w:rsid w:val="005C5BAC"/>
    <w:rsid w:val="005C6AB7"/>
    <w:rsid w:val="005D1418"/>
    <w:rsid w:val="005D7783"/>
    <w:rsid w:val="00676501"/>
    <w:rsid w:val="006A2C9D"/>
    <w:rsid w:val="006B570E"/>
    <w:rsid w:val="006B6CBA"/>
    <w:rsid w:val="006F363E"/>
    <w:rsid w:val="006F499F"/>
    <w:rsid w:val="007414BD"/>
    <w:rsid w:val="0076799E"/>
    <w:rsid w:val="0077604A"/>
    <w:rsid w:val="007A5040"/>
    <w:rsid w:val="00806FA7"/>
    <w:rsid w:val="00827079"/>
    <w:rsid w:val="00865D76"/>
    <w:rsid w:val="0086661B"/>
    <w:rsid w:val="0087594B"/>
    <w:rsid w:val="00876719"/>
    <w:rsid w:val="008E32C5"/>
    <w:rsid w:val="0090442F"/>
    <w:rsid w:val="00911A29"/>
    <w:rsid w:val="009443D9"/>
    <w:rsid w:val="00951C9A"/>
    <w:rsid w:val="00984848"/>
    <w:rsid w:val="00985C9A"/>
    <w:rsid w:val="009947EB"/>
    <w:rsid w:val="009C2CC8"/>
    <w:rsid w:val="009E003E"/>
    <w:rsid w:val="00A2494D"/>
    <w:rsid w:val="00A45F74"/>
    <w:rsid w:val="00A56BEE"/>
    <w:rsid w:val="00A62CE2"/>
    <w:rsid w:val="00A74AD1"/>
    <w:rsid w:val="00A853F6"/>
    <w:rsid w:val="00B22CA0"/>
    <w:rsid w:val="00B34AF1"/>
    <w:rsid w:val="00B40043"/>
    <w:rsid w:val="00B90713"/>
    <w:rsid w:val="00BD21F4"/>
    <w:rsid w:val="00C86359"/>
    <w:rsid w:val="00CE6238"/>
    <w:rsid w:val="00D2152E"/>
    <w:rsid w:val="00D76849"/>
    <w:rsid w:val="00D83083"/>
    <w:rsid w:val="00D85DA1"/>
    <w:rsid w:val="00D95BAC"/>
    <w:rsid w:val="00DE1170"/>
    <w:rsid w:val="00DF0053"/>
    <w:rsid w:val="00E00281"/>
    <w:rsid w:val="00E16472"/>
    <w:rsid w:val="00E423D9"/>
    <w:rsid w:val="00E65220"/>
    <w:rsid w:val="00E73606"/>
    <w:rsid w:val="00EC3C28"/>
    <w:rsid w:val="00EC7101"/>
    <w:rsid w:val="00EF55EC"/>
    <w:rsid w:val="00EF7470"/>
    <w:rsid w:val="00F03928"/>
    <w:rsid w:val="00F042B7"/>
    <w:rsid w:val="00F335A1"/>
    <w:rsid w:val="00F401E4"/>
    <w:rsid w:val="00FA735B"/>
    <w:rsid w:val="00FC0F46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rapid/pressReleasesAction.do?reference=SPEECH/12/240&amp;format=HTML&amp;aged=0&amp;language=EN&amp;guiLanguage=en" TargetMode="External"/><Relationship Id="rId18" Type="http://schemas.openxmlformats.org/officeDocument/2006/relationships/hyperlink" Target="http://europa.eu/rapid/pressReleasesAction.do?reference=IP/12/255&amp;format=HTML&amp;aged=0&amp;language=EN&amp;guiLanguage=en" TargetMode="External"/><Relationship Id="rId26" Type="http://schemas.openxmlformats.org/officeDocument/2006/relationships/hyperlink" Target="http://epp.eurostat.ec.europa.eu/cache/ITY_PUBLIC/6-16032012-AP/EN/6-16032012-AP-EN.PDF" TargetMode="External"/><Relationship Id="rId39" Type="http://schemas.openxmlformats.org/officeDocument/2006/relationships/hyperlink" Target="http://eur-lex.europa.eu/LexUriServ/LexUriServ.do?uri=OJ:L:2012:087:0090:0091:EN:PDF" TargetMode="External"/><Relationship Id="rId21" Type="http://schemas.openxmlformats.org/officeDocument/2006/relationships/hyperlink" Target="http://www.consilium.europa.eu/uedocs/cms_data/docs/pressdata/EN/foraff/129232.pdf" TargetMode="External"/><Relationship Id="rId34" Type="http://schemas.openxmlformats.org/officeDocument/2006/relationships/hyperlink" Target="http://europa.eu/rapid/pressReleasesAction.do?reference=IP/12/239" TargetMode="External"/><Relationship Id="rId42" Type="http://schemas.openxmlformats.org/officeDocument/2006/relationships/hyperlink" Target="http://curia.europa.eu/juris/document/document.jsf?text=&amp;docid=120361&amp;pageIndex=0&amp;doclang=EN&amp;mode=lst&amp;dir=&amp;occ=first&amp;part=1&amp;cid=297955" TargetMode="External"/><Relationship Id="rId47" Type="http://schemas.openxmlformats.org/officeDocument/2006/relationships/hyperlink" Target="http://www.consilium.europa.eu/uedocs/cms_data/docs/pressdata/en/esdp/129385.pdf" TargetMode="External"/><Relationship Id="rId50" Type="http://schemas.openxmlformats.org/officeDocument/2006/relationships/hyperlink" Target="http://europa.eu/rapid/pressReleasesAction.do?reference=MEMO/12/214&amp;format=HTML&amp;aged=0&amp;language=EN&amp;guiLanguage=en" TargetMode="External"/><Relationship Id="rId55" Type="http://schemas.openxmlformats.org/officeDocument/2006/relationships/hyperlink" Target="http://eca.europa.eu/portal/pls/portal/docs/1/13260735.PDF" TargetMode="External"/><Relationship Id="rId63" Type="http://schemas.openxmlformats.org/officeDocument/2006/relationships/hyperlink" Target="http://www.consilium.europa.eu/uedocs/cms_data/docs/pressdata/EN/foraff/129235.pdf" TargetMode="External"/><Relationship Id="rId68" Type="http://schemas.openxmlformats.org/officeDocument/2006/relationships/hyperlink" Target="http://www.asser.nl/events.aspx?id=295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ilium.europa.eu/uedocs/cms_data/docs/pressdata/EN/genaff/129376.pdf" TargetMode="External"/><Relationship Id="rId29" Type="http://schemas.openxmlformats.org/officeDocument/2006/relationships/hyperlink" Target="http://www.europarl.europa.eu/news/en/pressroom/content/20120327IPR41978/html/ACTA-reasons-for-committee-vote-against-referral-to-Court-of-Justi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MEMO/12/187&amp;format=HTML&amp;aged=0&amp;language=EN&amp;guiLanguage=en" TargetMode="External"/><Relationship Id="rId24" Type="http://schemas.openxmlformats.org/officeDocument/2006/relationships/hyperlink" Target="http://europa.eu/rapid/pressReleasesAction.do?reference=MEMO/12/226&amp;format=HTML&amp;aged=0&amp;language=EN&amp;guiLanguage=en" TargetMode="External"/><Relationship Id="rId32" Type="http://schemas.openxmlformats.org/officeDocument/2006/relationships/hyperlink" Target="http://europa.eu/rapid/pressReleasesAction.do?reference=IP/12/339&amp;format=HTML&amp;aged=0&amp;language=EN&amp;guiLanguage=en" TargetMode="External"/><Relationship Id="rId37" Type="http://schemas.openxmlformats.org/officeDocument/2006/relationships/hyperlink" Target="http://eur-lex.europa.eu/LexUriServ/LexUriServ.do?uri=OJ:L:2012:080:0017:0017:EN:PDF" TargetMode="External"/><Relationship Id="rId40" Type="http://schemas.openxmlformats.org/officeDocument/2006/relationships/hyperlink" Target="http://www.consilium.europa.eu/uedocs/cms_data/docs/pressdata/EN/foraff/129297.pdf" TargetMode="External"/><Relationship Id="rId45" Type="http://schemas.openxmlformats.org/officeDocument/2006/relationships/hyperlink" Target="http://eur-lex.europa.eu/LexUriServ/LexUriServ.do?uri=OJ:L:2012:089:0066:0068:EN:PDF" TargetMode="External"/><Relationship Id="rId53" Type="http://schemas.openxmlformats.org/officeDocument/2006/relationships/hyperlink" Target="http://europa.eu/rapid/pressReleasesAction.do?reference=MEMO/12/222&amp;format=HTML&amp;aged=0&amp;language=EN&amp;guiLanguage=en" TargetMode="External"/><Relationship Id="rId58" Type="http://schemas.openxmlformats.org/officeDocument/2006/relationships/hyperlink" Target="http://europa.eu/rapid/pressReleasesAction.do?reference=STAT/12/46&amp;format=HTML&amp;aged=0&amp;language=EN&amp;guiLanguage=en" TargetMode="External"/><Relationship Id="rId66" Type="http://schemas.openxmlformats.org/officeDocument/2006/relationships/hyperlink" Target="http://www.asser.nl/events.aspx?id=2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ReleasesAction.do?reference=SPEECH/12/242&amp;format=HTML&amp;aged=0&amp;language=EN&amp;guiLanguage=en" TargetMode="External"/><Relationship Id="rId23" Type="http://schemas.openxmlformats.org/officeDocument/2006/relationships/hyperlink" Target="http://europa.eu/rapid/pressReleasesAction.do?reference=SPEECH/12/229&amp;format=HTML&amp;aged=0&amp;language=EN&amp;guiLanguage=en" TargetMode="External"/><Relationship Id="rId28" Type="http://schemas.openxmlformats.org/officeDocument/2006/relationships/hyperlink" Target="http://www.consilium.europa.eu/uedocs/cms_data/docs/pressdata/EN/foraff/129255.pdf" TargetMode="External"/><Relationship Id="rId36" Type="http://schemas.openxmlformats.org/officeDocument/2006/relationships/hyperlink" Target="http://eur-lex.europa.eu/LexUriServ/LexUriServ.do?uri=OJ:L:2012:077:0018:0018:EN:PDF" TargetMode="External"/><Relationship Id="rId49" Type="http://schemas.openxmlformats.org/officeDocument/2006/relationships/hyperlink" Target="http://www.consilium.europa.eu/uedocs/cms_data/docs/pressdata/EN/foraff/129222.pdf" TargetMode="External"/><Relationship Id="rId57" Type="http://schemas.openxmlformats.org/officeDocument/2006/relationships/hyperlink" Target="http://europa.eu/rapid/pressReleasesAction.do?reference=EO/12/4&amp;format=HTML&amp;aged=0&amp;language=EN&amp;guiLanguage=en" TargetMode="External"/><Relationship Id="rId61" Type="http://schemas.openxmlformats.org/officeDocument/2006/relationships/hyperlink" Target="http://www.consilium.europa.eu/uedocs/cms_data/docs/pressdata/EN/foraff/128895.pdf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ur-lex.europa.eu/LexUriServ/LexUriServ.do?uri=OJ:L:2012:087:0092:0094:EN:PDF" TargetMode="External"/><Relationship Id="rId31" Type="http://schemas.openxmlformats.org/officeDocument/2006/relationships/hyperlink" Target="http://eur-lex.europa.eu/LexUriServ/LexUriServ.do?uri=OJ:L:2012:093:0003:0140:EN:PDF" TargetMode="External"/><Relationship Id="rId44" Type="http://schemas.openxmlformats.org/officeDocument/2006/relationships/hyperlink" Target="http://eur-lex.europa.eu/LexUriServ/LexUriServ.do?uri=OJ:L:2012:089:0069:0071:EN:PDF" TargetMode="External"/><Relationship Id="rId52" Type="http://schemas.openxmlformats.org/officeDocument/2006/relationships/hyperlink" Target="http://register.consilium.europa.eu/pdf/en/12/st08/st08160.en12.pdf" TargetMode="External"/><Relationship Id="rId60" Type="http://schemas.openxmlformats.org/officeDocument/2006/relationships/hyperlink" Target="http://europa.eu/rapid/pressReleasesAction.do?reference=IP/12/333&amp;format=HTML&amp;aged=0&amp;language=EN&amp;guiLanguage=en" TargetMode="External"/><Relationship Id="rId65" Type="http://schemas.openxmlformats.org/officeDocument/2006/relationships/hyperlink" Target="http://europa.eu/rapid/pressReleasesAction.do?reference=MEMO/12/224&amp;format=HTML&amp;aged=0&amp;language=EN&amp;guiLanguage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news/en/pressroom/content/20120314IPR40746/html/Iceland-former-Yugoslav-Republic-of-Macedonia-and-Bosnia-and-Herzegovina" TargetMode="External"/><Relationship Id="rId14" Type="http://schemas.openxmlformats.org/officeDocument/2006/relationships/hyperlink" Target="http://europa.eu/rapid/pressReleasesAction.do?reference=SPEECH/12/245&amp;format=HTML&amp;aged=0&amp;language=EN&amp;guiLanguage=en" TargetMode="External"/><Relationship Id="rId22" Type="http://schemas.openxmlformats.org/officeDocument/2006/relationships/hyperlink" Target="http://eur-lex.europa.eu/LexUriServ/LexUriServ.do?uri=OJ:L:2012:087:0037:0044:EN:PDF" TargetMode="External"/><Relationship Id="rId27" Type="http://schemas.openxmlformats.org/officeDocument/2006/relationships/hyperlink" Target="http://europa.eu/rapid/pressReleasesAction.do?reference=SPEECH/12/220&amp;format=HTML&amp;aged=0&amp;language=EN&amp;guiLanguage=en" TargetMode="External"/><Relationship Id="rId30" Type="http://schemas.openxmlformats.org/officeDocument/2006/relationships/hyperlink" Target="http://europa.eu/rapid/pressReleasesAction.do?reference=IP/12/331&amp;format=HTML&amp;aged=0&amp;language=EN&amp;guiLanguage=en" TargetMode="External"/><Relationship Id="rId35" Type="http://schemas.openxmlformats.org/officeDocument/2006/relationships/hyperlink" Target="http://eur-lex.europa.eu/LexUriServ/LexUriServ.do?uri=OJ:L:2012:074:0008:0008:EN:PDF" TargetMode="External"/><Relationship Id="rId43" Type="http://schemas.openxmlformats.org/officeDocument/2006/relationships/hyperlink" Target="http://www.consilium.europa.eu/uedocs/cms_data/docs/pressdata/EN/foraff/129161.pdf" TargetMode="External"/><Relationship Id="rId48" Type="http://schemas.openxmlformats.org/officeDocument/2006/relationships/hyperlink" Target="http://europa.eu/rapid/pressReleasesAction.do?reference=IP/12/307&amp;format=HTML&amp;aged=0&amp;language=EN&amp;guiLanguage=en" TargetMode="External"/><Relationship Id="rId56" Type="http://schemas.openxmlformats.org/officeDocument/2006/relationships/hyperlink" Target="http://europa.eu/newsroom/highlights/somalia/index_en.htm" TargetMode="External"/><Relationship Id="rId64" Type="http://schemas.openxmlformats.org/officeDocument/2006/relationships/hyperlink" Target="http://europa.eu/rapid/pressReleasesAction.do?reference=STAT/12/49&amp;format=HTML&amp;aged=0&amp;language=EN&amp;guiLanguage=en" TargetMode="External"/><Relationship Id="rId69" Type="http://schemas.openxmlformats.org/officeDocument/2006/relationships/hyperlink" Target="http://www.asser.nl/events.aspx?id=29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uropa.eu/rapid/pressReleasesAction.do?reference=MEMO/12/215&amp;format=HTML&amp;aged=0&amp;language=EN&amp;guiLanguage=en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europa.eu/rapid/pressReleasesAction.do?reference=MEMO/12/210&amp;format=HTML&amp;aged=0&amp;language=EN&amp;guiLanguage=en" TargetMode="External"/><Relationship Id="rId17" Type="http://schemas.openxmlformats.org/officeDocument/2006/relationships/hyperlink" Target="http://www.europarl.europa.eu/news/en/pressroom/content/20120330IPR42291/html/Parliament-to-welcome-Croatian-observer-members" TargetMode="External"/><Relationship Id="rId25" Type="http://schemas.openxmlformats.org/officeDocument/2006/relationships/hyperlink" Target="http://europa.eu/rapid/pressReleasesAction.do?reference=MEMO/12/238&amp;format=HTML&amp;aged=0&amp;language=EN&amp;guiLanguage=en" TargetMode="External"/><Relationship Id="rId33" Type="http://schemas.openxmlformats.org/officeDocument/2006/relationships/hyperlink" Target="http://europa.eu/rapid/pressReleasesAction.do?reference=MEMO/12/180&amp;format=HTML&amp;aged=0&amp;language=EN&amp;guiLanguage=en" TargetMode="External"/><Relationship Id="rId38" Type="http://schemas.openxmlformats.org/officeDocument/2006/relationships/hyperlink" Target="http://www.consilium.europa.eu/uedocs/cms_data/docs/pressdata/EN/foraff/129215.pdf" TargetMode="External"/><Relationship Id="rId46" Type="http://schemas.openxmlformats.org/officeDocument/2006/relationships/hyperlink" Target="http://www.consilium.europa.eu/uedocs/cms_data/docs/pressdata/EN/foraff/129216.pdf" TargetMode="External"/><Relationship Id="rId59" Type="http://schemas.openxmlformats.org/officeDocument/2006/relationships/hyperlink" Target="http://eur-lex.europa.eu/LexUriServ/LexUriServ.do?uri=OJ:L:2012:092:0001:0003:EN:PDF" TargetMode="External"/><Relationship Id="rId67" Type="http://schemas.openxmlformats.org/officeDocument/2006/relationships/hyperlink" Target="http://www.asser.nl/events.aspx?id=291" TargetMode="External"/><Relationship Id="rId20" Type="http://schemas.openxmlformats.org/officeDocument/2006/relationships/hyperlink" Target="http://www.consilium.europa.eu/uedocs/cms_data/docs/pressdata/EN/foraff/129229.pdf" TargetMode="External"/><Relationship Id="rId41" Type="http://schemas.openxmlformats.org/officeDocument/2006/relationships/hyperlink" Target="http://curia.europa.eu/jcms/upload/docs/application/pdf/2012-03/cp120024en.pdf" TargetMode="External"/><Relationship Id="rId54" Type="http://schemas.openxmlformats.org/officeDocument/2006/relationships/hyperlink" Target="http://europa.eu/rapid/pressReleasesAction.do?reference=ECA/12/10&amp;format=HTML&amp;aged=0&amp;language=EN&amp;guiLanguage=en" TargetMode="External"/><Relationship Id="rId62" Type="http://schemas.openxmlformats.org/officeDocument/2006/relationships/hyperlink" Target="http://www.consilium.europa.eu/uedocs/cms_data/docs/pressdata/EN/foraff/129234.pdf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2012-04-11T12:05:00Z</cp:lastPrinted>
  <dcterms:created xsi:type="dcterms:W3CDTF">2012-04-11T12:35:00Z</dcterms:created>
  <dcterms:modified xsi:type="dcterms:W3CDTF">2012-04-11T12:35:00Z</dcterms:modified>
</cp:coreProperties>
</file>