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A43A69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A43A69">
        <w:rPr>
          <w:noProof/>
          <w:sz w:val="18"/>
          <w:szCs w:val="18"/>
          <w:lang w:val="en-GB" w:eastAsia="en-GB"/>
        </w:rPr>
        <w:drawing>
          <wp:inline distT="0" distB="0" distL="0" distR="0" wp14:anchorId="050D2918" wp14:editId="64EE316B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A43A69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A43A69">
        <w:rPr>
          <w:rFonts w:ascii="Cambria" w:hAnsi="Cambria"/>
          <w:sz w:val="32"/>
          <w:szCs w:val="32"/>
          <w:lang w:val="en-GB"/>
        </w:rPr>
        <w:t xml:space="preserve">News Service week </w:t>
      </w:r>
      <w:r w:rsidR="00130888" w:rsidRPr="00A43A69">
        <w:rPr>
          <w:rFonts w:ascii="Cambria" w:hAnsi="Cambria"/>
          <w:sz w:val="32"/>
          <w:szCs w:val="32"/>
          <w:lang w:val="en-GB"/>
        </w:rPr>
        <w:t>46</w:t>
      </w:r>
      <w:r w:rsidR="000310B4" w:rsidRPr="00A43A69">
        <w:rPr>
          <w:rFonts w:ascii="Cambria" w:hAnsi="Cambria"/>
          <w:sz w:val="32"/>
          <w:szCs w:val="32"/>
          <w:lang w:val="en-GB"/>
        </w:rPr>
        <w:t>/</w:t>
      </w:r>
      <w:r w:rsidRPr="00A43A69">
        <w:rPr>
          <w:rFonts w:ascii="Cambria" w:hAnsi="Cambria"/>
          <w:sz w:val="32"/>
          <w:szCs w:val="32"/>
          <w:lang w:val="en-GB"/>
        </w:rPr>
        <w:t>2012</w:t>
      </w:r>
    </w:p>
    <w:p w:rsidR="00B22DE7" w:rsidRDefault="00130888" w:rsidP="006C4927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A43A69">
        <w:rPr>
          <w:rFonts w:ascii="Cambria" w:hAnsi="Cambria"/>
          <w:sz w:val="26"/>
          <w:szCs w:val="26"/>
          <w:lang w:val="en-GB"/>
        </w:rPr>
        <w:t>(12</w:t>
      </w:r>
      <w:r w:rsidR="00FB307F" w:rsidRPr="00A43A69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A43A69">
        <w:rPr>
          <w:rFonts w:ascii="Cambria" w:hAnsi="Cambria"/>
          <w:sz w:val="26"/>
          <w:szCs w:val="26"/>
          <w:lang w:val="en-GB"/>
        </w:rPr>
        <w:t>–</w:t>
      </w:r>
      <w:r w:rsidR="002A3910" w:rsidRPr="00A43A69">
        <w:rPr>
          <w:rFonts w:ascii="Cambria" w:hAnsi="Cambria"/>
          <w:sz w:val="26"/>
          <w:szCs w:val="26"/>
          <w:lang w:val="en-GB"/>
        </w:rPr>
        <w:t xml:space="preserve"> </w:t>
      </w:r>
      <w:r w:rsidRPr="00A43A69">
        <w:rPr>
          <w:rFonts w:ascii="Cambria" w:hAnsi="Cambria"/>
          <w:sz w:val="26"/>
          <w:szCs w:val="26"/>
          <w:lang w:val="en-GB"/>
        </w:rPr>
        <w:t>18</w:t>
      </w:r>
      <w:r w:rsidR="00AA47CA" w:rsidRPr="00A43A69">
        <w:rPr>
          <w:rFonts w:ascii="Cambria" w:hAnsi="Cambria"/>
          <w:sz w:val="26"/>
          <w:szCs w:val="26"/>
          <w:lang w:val="en-GB"/>
        </w:rPr>
        <w:t xml:space="preserve"> </w:t>
      </w:r>
      <w:r w:rsidR="00FB307F" w:rsidRPr="00A43A69">
        <w:rPr>
          <w:rFonts w:ascii="Cambria" w:hAnsi="Cambria"/>
          <w:sz w:val="26"/>
          <w:szCs w:val="26"/>
          <w:lang w:val="en-GB"/>
        </w:rPr>
        <w:t>November</w:t>
      </w:r>
      <w:r w:rsidR="00B93155" w:rsidRPr="00A43A69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A43A69">
        <w:rPr>
          <w:rFonts w:ascii="Cambria" w:hAnsi="Cambria"/>
          <w:sz w:val="26"/>
          <w:szCs w:val="26"/>
          <w:lang w:val="en-GB"/>
        </w:rPr>
        <w:t>2012)</w:t>
      </w:r>
    </w:p>
    <w:p w:rsidR="00460366" w:rsidRPr="00A43A69" w:rsidRDefault="00460366" w:rsidP="006C4927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</w:p>
    <w:p w:rsidR="00003AB3" w:rsidRPr="00A43A69" w:rsidRDefault="00003AB3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A140B" w:rsidRPr="00A43A69" w:rsidTr="00031772">
        <w:trPr>
          <w:trHeight w:val="129"/>
        </w:trPr>
        <w:tc>
          <w:tcPr>
            <w:tcW w:w="1890" w:type="dxa"/>
          </w:tcPr>
          <w:p w:rsidR="000A140B" w:rsidRPr="00A43A69" w:rsidRDefault="000A140B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12 November</w:t>
            </w:r>
          </w:p>
        </w:tc>
        <w:tc>
          <w:tcPr>
            <w:tcW w:w="8370" w:type="dxa"/>
          </w:tcPr>
          <w:p w:rsidR="000A140B" w:rsidRPr="00A43A69" w:rsidRDefault="000A140B" w:rsidP="002A4049">
            <w:pPr>
              <w:pStyle w:val="NoSpacing"/>
              <w:rPr>
                <w:rStyle w:val="at10"/>
                <w:lang w:val="en-GB"/>
              </w:rPr>
            </w:pPr>
            <w:r w:rsidRPr="00A43A69">
              <w:rPr>
                <w:lang w:val="en-GB"/>
              </w:rPr>
              <w:t xml:space="preserve">EU to invest €81 million to support key reforms in Albania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0EACAD3" wp14:editId="6A73B207">
                  <wp:extent cx="161925" cy="152400"/>
                  <wp:effectExtent l="0" t="0" r="9525" b="0"/>
                  <wp:docPr id="101" name="Picture 101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BE" w:rsidRPr="00A43A69" w:rsidTr="00031772">
        <w:trPr>
          <w:trHeight w:val="129"/>
        </w:trPr>
        <w:tc>
          <w:tcPr>
            <w:tcW w:w="1890" w:type="dxa"/>
          </w:tcPr>
          <w:p w:rsidR="00ED04BE" w:rsidRPr="00A43A69" w:rsidRDefault="002A4049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15 November</w:t>
            </w:r>
          </w:p>
        </w:tc>
        <w:tc>
          <w:tcPr>
            <w:tcW w:w="8370" w:type="dxa"/>
          </w:tcPr>
          <w:p w:rsidR="00ED04BE" w:rsidRPr="00A43A69" w:rsidRDefault="002A4049" w:rsidP="002A4049">
            <w:pPr>
              <w:pStyle w:val="NoSpacing"/>
              <w:rPr>
                <w:rFonts w:eastAsiaTheme="minorHAnsi"/>
                <w:lang w:val="en-GB"/>
              </w:rPr>
            </w:pPr>
            <w:r w:rsidRPr="00A43A69">
              <w:rPr>
                <w:rStyle w:val="at10"/>
                <w:lang w:val="en-GB"/>
              </w:rPr>
              <w:t>Committee of the Regions brings together EU–Montenegrin local authorities</w:t>
            </w:r>
            <w:r w:rsidR="00130888" w:rsidRPr="00A43A69">
              <w:rPr>
                <w:rFonts w:eastAsiaTheme="minorHAnsi"/>
                <w:lang w:val="en-GB"/>
              </w:rPr>
              <w:t xml:space="preserve"> </w:t>
            </w:r>
            <w:r w:rsidR="00ED04BE" w:rsidRPr="00A43A69">
              <w:rPr>
                <w:noProof/>
                <w:lang w:val="en-GB" w:eastAsia="en-GB"/>
              </w:rPr>
              <w:drawing>
                <wp:inline distT="0" distB="0" distL="0" distR="0" wp14:anchorId="7381AB47" wp14:editId="5094C2D8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CA7" w:rsidRPr="00A43A69" w:rsidRDefault="00443CA7" w:rsidP="00443CA7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3CA7" w:rsidRPr="00A43A69" w:rsidRDefault="00443CA7" w:rsidP="00443CA7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B2307" w:rsidRPr="00A43A69" w:rsidTr="00460366">
        <w:trPr>
          <w:trHeight w:val="129"/>
        </w:trPr>
        <w:tc>
          <w:tcPr>
            <w:tcW w:w="1890" w:type="dxa"/>
          </w:tcPr>
          <w:p w:rsidR="008B2307" w:rsidRPr="00A43A69" w:rsidRDefault="008B2307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14 November</w:t>
            </w:r>
          </w:p>
        </w:tc>
        <w:tc>
          <w:tcPr>
            <w:tcW w:w="8370" w:type="dxa"/>
          </w:tcPr>
          <w:p w:rsidR="008B2307" w:rsidRPr="00A43A69" w:rsidRDefault="008B2307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EIB launches the first-time debate on the role of mobile financial services to address financial exclusion in the Southern and Eastern Mediterranean countries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603C2A4" wp14:editId="094EF62F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FCF" w:rsidRPr="00A43A69" w:rsidTr="009D1FCF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CF" w:rsidRPr="00A43A69" w:rsidRDefault="009D1FCF" w:rsidP="009D1FC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16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CF" w:rsidRPr="00A43A69" w:rsidRDefault="009D1FCF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EuroMed-2030: Long term challenges for the Mediterranean area. Report of an Expert Group</w:t>
            </w:r>
            <w:r w:rsidRPr="00A43A69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35470C11" wp14:editId="01A6BB5A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A43A69" w:rsidRDefault="00981A54" w:rsidP="0090712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91D37" w:rsidRPr="00A43A69" w:rsidRDefault="00C80A8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91D37" w:rsidRPr="00A43A69" w:rsidTr="00F91D37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37" w:rsidRPr="00A43A69" w:rsidRDefault="00F91D37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37" w:rsidRPr="00A43A69" w:rsidRDefault="00F91D37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The EU will "stop the clock" on the implementation of the international aspects of its Emissions Trading Scheme aviation by one year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46E10A2" wp14:editId="3D8105BF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079" w:rsidRPr="00A43A69" w:rsidRDefault="00247079" w:rsidP="00247079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8536B" w:rsidRPr="00A43A69" w:rsidRDefault="00B8536B" w:rsidP="00B8536B">
      <w:pPr>
        <w:pStyle w:val="ColorfulList-Accent11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COMMON FISHERIES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47079" w:rsidRPr="00A43A69" w:rsidTr="0046036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79" w:rsidRPr="00A43A69" w:rsidRDefault="00247079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15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79" w:rsidRPr="00A43A69" w:rsidRDefault="00247079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Commission warns third countries over insufficient action to fight illegal fishing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68BEF332" wp14:editId="0084AC1F">
                  <wp:extent cx="167005" cy="158750"/>
                  <wp:effectExtent l="0" t="0" r="4445" b="0"/>
                  <wp:docPr id="97" name="Picture 97" descr="Description: 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ArticlesIcon1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A69">
              <w:rPr>
                <w:lang w:val="en-GB"/>
              </w:rPr>
              <w:t xml:space="preserve"> </w:t>
            </w:r>
          </w:p>
        </w:tc>
      </w:tr>
    </w:tbl>
    <w:p w:rsidR="000F2B38" w:rsidRPr="00A43A69" w:rsidRDefault="000F2B38" w:rsidP="00742451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43A69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B21B19" w:rsidRPr="00A43A69" w:rsidTr="00031772">
        <w:trPr>
          <w:trHeight w:val="129"/>
        </w:trPr>
        <w:tc>
          <w:tcPr>
            <w:tcW w:w="1890" w:type="dxa"/>
          </w:tcPr>
          <w:p w:rsidR="00B21B19" w:rsidRPr="00A43A69" w:rsidRDefault="00A05E43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</w:tcPr>
          <w:p w:rsidR="00B21B19" w:rsidRPr="00A43A69" w:rsidRDefault="00A05E43" w:rsidP="00CB3DDD">
            <w:pPr>
              <w:pStyle w:val="NoSpacing"/>
              <w:rPr>
                <w:rFonts w:cstheme="minorHAnsi"/>
                <w:lang w:val="en-GB"/>
              </w:rPr>
            </w:pPr>
            <w:r w:rsidRPr="00A43A69">
              <w:rPr>
                <w:lang w:val="en-GB"/>
              </w:rPr>
              <w:t xml:space="preserve">Council Decision on the Union support for the activities of the Preparatory Commission of the Comprehensive Nuclear-Test-Ban Treaty Organisation (CTBPO)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CCBC466" wp14:editId="303A8487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0888" w:rsidRPr="00A43A69">
              <w:rPr>
                <w:rFonts w:cstheme="minorHAnsi"/>
                <w:lang w:val="en-GB"/>
              </w:rPr>
              <w:t xml:space="preserve">  </w:t>
            </w:r>
          </w:p>
        </w:tc>
      </w:tr>
      <w:tr w:rsidR="00A05E43" w:rsidRPr="00A43A69" w:rsidTr="00031772">
        <w:trPr>
          <w:trHeight w:val="129"/>
        </w:trPr>
        <w:tc>
          <w:tcPr>
            <w:tcW w:w="1890" w:type="dxa"/>
          </w:tcPr>
          <w:p w:rsidR="00A05E43" w:rsidRPr="00A43A69" w:rsidRDefault="00A05E43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14 November</w:t>
            </w:r>
          </w:p>
        </w:tc>
        <w:tc>
          <w:tcPr>
            <w:tcW w:w="8370" w:type="dxa"/>
          </w:tcPr>
          <w:p w:rsidR="00A05E43" w:rsidRPr="00A43A69" w:rsidRDefault="00A05E43" w:rsidP="00A05E43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Council Decision in the framework of the European Security Strategy in support of the implementation of the Cartagena Action Plan 2010-2014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4FFAFDA4" wp14:editId="6AE16B2C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7FC" w:rsidRPr="00A43A69" w:rsidRDefault="00DF37FC" w:rsidP="001308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A43A69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6619B" w:rsidRPr="00A43A69" w:rsidTr="00031772">
        <w:trPr>
          <w:trHeight w:val="129"/>
        </w:trPr>
        <w:tc>
          <w:tcPr>
            <w:tcW w:w="1890" w:type="dxa"/>
          </w:tcPr>
          <w:p w:rsidR="0096619B" w:rsidRPr="00A43A69" w:rsidRDefault="00A70AD8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</w:tcPr>
          <w:p w:rsidR="0096619B" w:rsidRPr="00A43A69" w:rsidRDefault="00A70AD8" w:rsidP="00A70AD8">
            <w:pPr>
              <w:pStyle w:val="NoSpacing"/>
              <w:rPr>
                <w:rFonts w:eastAsiaTheme="minorHAnsi"/>
                <w:lang w:val="en-GB"/>
              </w:rPr>
            </w:pPr>
            <w:r w:rsidRPr="00A43A69">
              <w:rPr>
                <w:lang w:val="en-GB"/>
              </w:rPr>
              <w:t xml:space="preserve">European Defence Agency: </w:t>
            </w:r>
            <w:proofErr w:type="spellStart"/>
            <w:r w:rsidRPr="00A43A69">
              <w:rPr>
                <w:lang w:val="en-GB"/>
              </w:rPr>
              <w:t>Nanoelectronics</w:t>
            </w:r>
            <w:proofErr w:type="spellEnd"/>
            <w:r w:rsidRPr="00A43A69">
              <w:rPr>
                <w:lang w:val="en-GB"/>
              </w:rPr>
              <w:t>’ Importance for Defence</w:t>
            </w:r>
            <w:r w:rsidRPr="00A43A69">
              <w:rPr>
                <w:rFonts w:eastAsia="TTE1484CA0t00"/>
                <w:lang w:val="en-GB"/>
              </w:rPr>
              <w:t xml:space="preserve"> </w:t>
            </w:r>
            <w:r w:rsidR="0096619B" w:rsidRPr="00A43A69">
              <w:rPr>
                <w:noProof/>
                <w:lang w:val="en-GB" w:eastAsia="en-GB"/>
              </w:rPr>
              <w:drawing>
                <wp:inline distT="0" distB="0" distL="0" distR="0" wp14:anchorId="64D954B8" wp14:editId="0093F9AE">
                  <wp:extent cx="161925" cy="152400"/>
                  <wp:effectExtent l="0" t="0" r="9525" b="0"/>
                  <wp:docPr id="86" name="Picture 86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1C3" w:rsidRPr="00A43A69" w:rsidTr="00031772">
        <w:trPr>
          <w:trHeight w:val="129"/>
        </w:trPr>
        <w:tc>
          <w:tcPr>
            <w:tcW w:w="1890" w:type="dxa"/>
          </w:tcPr>
          <w:p w:rsidR="00AF61C3" w:rsidRPr="00A43A69" w:rsidRDefault="00AF61C3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</w:tcPr>
          <w:p w:rsidR="00AF61C3" w:rsidRPr="00A43A69" w:rsidRDefault="00AF61C3" w:rsidP="00F21D93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Council Decision on the establishment of a warehouse for civilian crisis management missions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47DE2BBA" wp14:editId="31405C28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A4" w:rsidRPr="00A43A69" w:rsidTr="00031772">
        <w:trPr>
          <w:trHeight w:val="129"/>
        </w:trPr>
        <w:tc>
          <w:tcPr>
            <w:tcW w:w="1890" w:type="dxa"/>
          </w:tcPr>
          <w:p w:rsidR="00C553A4" w:rsidRPr="00A43A69" w:rsidRDefault="00C553A4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16 November</w:t>
            </w:r>
          </w:p>
        </w:tc>
        <w:tc>
          <w:tcPr>
            <w:tcW w:w="8370" w:type="dxa"/>
          </w:tcPr>
          <w:p w:rsidR="00C553A4" w:rsidRPr="00A43A69" w:rsidRDefault="00C553A4" w:rsidP="00F21D93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European Defence Agency: Action Plan for harmonised ammunition qualification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0D1C4AD1" wp14:editId="116EF711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8A4" w:rsidRPr="00A43A69" w:rsidTr="00031772">
        <w:trPr>
          <w:trHeight w:val="129"/>
        </w:trPr>
        <w:tc>
          <w:tcPr>
            <w:tcW w:w="1890" w:type="dxa"/>
          </w:tcPr>
          <w:p w:rsidR="006928A4" w:rsidRPr="00A43A69" w:rsidRDefault="006928A4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 xml:space="preserve">EDA publication </w:t>
            </w:r>
          </w:p>
        </w:tc>
        <w:tc>
          <w:tcPr>
            <w:tcW w:w="8370" w:type="dxa"/>
          </w:tcPr>
          <w:p w:rsidR="006928A4" w:rsidRPr="00A43A69" w:rsidRDefault="006928A4" w:rsidP="00F21D93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European Defence Matters: Issue 1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6908F10F" wp14:editId="1714BAE5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A69">
              <w:rPr>
                <w:lang w:val="en-GB"/>
              </w:rPr>
              <w:t xml:space="preserve">; Issue 2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1152B2FE" wp14:editId="2CA97EE9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12C" w:rsidRPr="00A43A69" w:rsidRDefault="0090712C" w:rsidP="0090712C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0712C" w:rsidRPr="00A43A69" w:rsidRDefault="0090712C" w:rsidP="0090712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0712C" w:rsidRPr="00A43A69" w:rsidTr="00460366">
        <w:trPr>
          <w:trHeight w:val="129"/>
        </w:trPr>
        <w:tc>
          <w:tcPr>
            <w:tcW w:w="1890" w:type="dxa"/>
          </w:tcPr>
          <w:p w:rsidR="0090712C" w:rsidRPr="00A43A69" w:rsidRDefault="0090712C" w:rsidP="0046036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</w:tcPr>
          <w:p w:rsidR="0090712C" w:rsidRPr="00A43A69" w:rsidRDefault="0090712C" w:rsidP="00460366">
            <w:pPr>
              <w:pStyle w:val="NoSpacing"/>
              <w:rPr>
                <w:rFonts w:cstheme="minorHAnsi"/>
                <w:lang w:val="en-GB"/>
              </w:rPr>
            </w:pPr>
            <w:r w:rsidRPr="00A43A69">
              <w:rPr>
                <w:lang w:val="en-GB"/>
              </w:rPr>
              <w:t>Exemption from the visa requirement for holders of diplomatic passports from Colombia</w:t>
            </w:r>
            <w:r w:rsidRPr="00A43A69">
              <w:rPr>
                <w:rFonts w:cstheme="minorHAnsi"/>
                <w:lang w:val="en-GB"/>
              </w:rPr>
              <w:t xml:space="preserve"> </w:t>
            </w:r>
            <w:r w:rsidRPr="00A43A69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D7672CE" wp14:editId="441F3196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A43A69" w:rsidRDefault="00B51182" w:rsidP="00B51182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A43A69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B51182" w:rsidRPr="00A43A69" w:rsidTr="00460366">
        <w:trPr>
          <w:trHeight w:val="129"/>
        </w:trPr>
        <w:tc>
          <w:tcPr>
            <w:tcW w:w="1890" w:type="dxa"/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12 November</w:t>
            </w:r>
          </w:p>
        </w:tc>
        <w:tc>
          <w:tcPr>
            <w:tcW w:w="8370" w:type="dxa"/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Court of Auditors: Annual Report on the activities funded by the 8</w:t>
            </w:r>
            <w:r w:rsidRPr="00A43A69">
              <w:rPr>
                <w:vertAlign w:val="superscript"/>
                <w:lang w:val="en-GB"/>
              </w:rPr>
              <w:t>th</w:t>
            </w:r>
            <w:r w:rsidRPr="00A43A69">
              <w:rPr>
                <w:lang w:val="en-GB"/>
              </w:rPr>
              <w:t>, 9</w:t>
            </w:r>
            <w:r w:rsidRPr="00A43A69">
              <w:rPr>
                <w:vertAlign w:val="superscript"/>
                <w:lang w:val="en-GB"/>
              </w:rPr>
              <w:t>th</w:t>
            </w:r>
            <w:r w:rsidRPr="00A43A69">
              <w:rPr>
                <w:lang w:val="en-GB"/>
              </w:rPr>
              <w:t xml:space="preserve"> and 10</w:t>
            </w:r>
            <w:r w:rsidRPr="00A43A69">
              <w:rPr>
                <w:vertAlign w:val="superscript"/>
                <w:lang w:val="en-GB"/>
              </w:rPr>
              <w:t>th</w:t>
            </w:r>
            <w:r w:rsidRPr="00A43A69">
              <w:rPr>
                <w:lang w:val="en-GB"/>
              </w:rPr>
              <w:t xml:space="preserve"> European Development Funds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BBE1EEE" wp14:editId="47B58FB0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12 November</w:t>
            </w:r>
          </w:p>
        </w:tc>
        <w:tc>
          <w:tcPr>
            <w:tcW w:w="8370" w:type="dxa"/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Commission allocates € 6 million to ensure the swift launch of the European Endowment for Democracy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1B563D43" wp14:editId="56790383">
                  <wp:extent cx="161925" cy="152400"/>
                  <wp:effectExtent l="0" t="0" r="9525" b="0"/>
                  <wp:docPr id="102" name="Picture 102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Council gives ‘green light’ to the new Food Assistance Convention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B88A010" wp14:editId="43718018">
                  <wp:extent cx="161925" cy="152400"/>
                  <wp:effectExtent l="0" t="0" r="9525" b="0"/>
                  <wp:docPr id="100" name="Picture 100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14 November</w:t>
            </w:r>
          </w:p>
        </w:tc>
        <w:tc>
          <w:tcPr>
            <w:tcW w:w="8370" w:type="dxa"/>
          </w:tcPr>
          <w:p w:rsidR="00B51182" w:rsidRPr="00A43A69" w:rsidRDefault="00B51182" w:rsidP="00460366">
            <w:pPr>
              <w:pStyle w:val="NoSpacing"/>
              <w:rPr>
                <w:rFonts w:ascii="Cambria" w:hAnsi="Cambria"/>
                <w:noProof/>
                <w:lang w:val="en-GB" w:eastAsia="en-GB"/>
              </w:rPr>
            </w:pPr>
            <w:r w:rsidRPr="00A43A69">
              <w:rPr>
                <w:lang w:val="en-GB"/>
              </w:rPr>
              <w:t xml:space="preserve">EU gives € 27,15 million support for the promotion of agricultural products in the European Union and in third countries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44C0357" wp14:editId="23290CA7">
                  <wp:extent cx="167005" cy="158750"/>
                  <wp:effectExtent l="0" t="0" r="4445" b="0"/>
                  <wp:docPr id="98" name="Picture 98" descr="Description: 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ArticlesIcon1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14 November</w:t>
            </w:r>
          </w:p>
        </w:tc>
        <w:tc>
          <w:tcPr>
            <w:tcW w:w="8370" w:type="dxa"/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EU Development Commissioner </w:t>
            </w:r>
            <w:proofErr w:type="spellStart"/>
            <w:r w:rsidRPr="00A43A69">
              <w:rPr>
                <w:lang w:val="en-GB"/>
              </w:rPr>
              <w:t>Piebalgs</w:t>
            </w:r>
            <w:proofErr w:type="spellEnd"/>
            <w:r w:rsidRPr="00A43A69">
              <w:rPr>
                <w:lang w:val="en-GB"/>
              </w:rPr>
              <w:t xml:space="preserve"> announces EU support for building the largest solar power plant in West Africa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78D739CE" wp14:editId="73D19D8D">
                  <wp:extent cx="161925" cy="152400"/>
                  <wp:effectExtent l="0" t="0" r="9525" b="0"/>
                  <wp:docPr id="53" name="Picture 53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16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Humanitarian aid for victims of inter-communal violence in Burma/Myanmar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4B962508" wp14:editId="5A1772A8">
                  <wp:extent cx="161925" cy="152400"/>
                  <wp:effectExtent l="0" t="0" r="9525" b="0"/>
                  <wp:docPr id="95" name="Picture 9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proofErr w:type="spellStart"/>
            <w:r w:rsidRPr="00A43A69">
              <w:rPr>
                <w:rFonts w:asciiTheme="majorHAnsi" w:hAnsiTheme="majorHAnsi" w:cs="Arial"/>
                <w:b/>
                <w:lang w:val="en-GB"/>
              </w:rPr>
              <w:t>Eurobarometer</w:t>
            </w:r>
            <w:proofErr w:type="spellEnd"/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pStyle w:val="NoSpacing"/>
              <w:rPr>
                <w:lang w:val="en-GB"/>
              </w:rPr>
            </w:pPr>
            <w:r w:rsidRPr="00A43A69">
              <w:rPr>
                <w:rStyle w:val="auto-style21"/>
                <w:rFonts w:asciiTheme="majorHAnsi" w:hAnsiTheme="majorHAnsi" w:cs="Times New Roman"/>
                <w:lang w:val="en-GB"/>
              </w:rPr>
              <w:t xml:space="preserve">Solidarity that spans the globe: Europeans and development aid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50966D33" wp14:editId="35E81305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2" w:rsidRPr="00A43A69" w:rsidTr="0046036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Commission Report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82" w:rsidRPr="00A43A69" w:rsidRDefault="00B51182" w:rsidP="00460366">
            <w:pPr>
              <w:pStyle w:val="NoSpacing"/>
              <w:rPr>
                <w:rStyle w:val="auto-style21"/>
                <w:rFonts w:asciiTheme="majorHAnsi" w:hAnsiTheme="majorHAnsi" w:cs="Times New Roman"/>
                <w:lang w:val="en-GB"/>
              </w:rPr>
            </w:pPr>
            <w:r w:rsidRPr="00A43A69">
              <w:rPr>
                <w:rStyle w:val="auto-style21"/>
                <w:rFonts w:asciiTheme="majorHAnsi" w:hAnsiTheme="majorHAnsi" w:cs="Times New Roman"/>
                <w:lang w:val="en-GB"/>
              </w:rPr>
              <w:t xml:space="preserve">Commission presents The Global Europe 2050 report: foresight report presents and three scenarios that identify the main pathways Europe could follow in the coming decades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32E8A53" wp14:editId="4B7D4E05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61E" w:rsidRPr="00A43A69" w:rsidRDefault="008F361E" w:rsidP="00B51182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F361E" w:rsidRPr="00A43A69" w:rsidRDefault="008F361E" w:rsidP="008F361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Egypt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B1796" w:rsidRPr="00A43A69" w:rsidTr="008B179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A43A69" w:rsidRDefault="008B1796" w:rsidP="008B179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A43A69" w:rsidRDefault="008B1796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First meeting of EU-Egypt Task Force to support the on-going reforms in Egypt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126F4AE" wp14:editId="6E856909">
                  <wp:extent cx="161925" cy="152400"/>
                  <wp:effectExtent l="0" t="0" r="9525" b="0"/>
                  <wp:docPr id="83" name="Picture 83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96" w:rsidRPr="00A43A69" w:rsidTr="008B179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A43A69" w:rsidRDefault="008B1796" w:rsidP="008B179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A43A69" w:rsidRDefault="008B1796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New EU support for job creation and vocational training for young people in Egypt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0F1B7675" wp14:editId="2B9C2778">
                  <wp:extent cx="161925" cy="152400"/>
                  <wp:effectExtent l="0" t="0" r="9525" b="0"/>
                  <wp:docPr id="85" name="Picture 85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61E" w:rsidRPr="00A43A69" w:rsidTr="008F361E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1E" w:rsidRPr="00A43A69" w:rsidRDefault="008F361E" w:rsidP="008F361E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1E" w:rsidRPr="00A43A69" w:rsidRDefault="008F361E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Seizing mutual benefit for businesses in the EU and Egypt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0A2EC94" wp14:editId="255AB645">
                  <wp:extent cx="161925" cy="152400"/>
                  <wp:effectExtent l="0" t="0" r="9525" b="0"/>
                  <wp:docPr id="55" name="Picture 5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61E" w:rsidRPr="00A43A69" w:rsidTr="00460366">
        <w:trPr>
          <w:trHeight w:val="129"/>
        </w:trPr>
        <w:tc>
          <w:tcPr>
            <w:tcW w:w="1890" w:type="dxa"/>
          </w:tcPr>
          <w:p w:rsidR="008F361E" w:rsidRPr="00A43A69" w:rsidRDefault="008F361E" w:rsidP="0046036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14 November</w:t>
            </w:r>
          </w:p>
        </w:tc>
        <w:tc>
          <w:tcPr>
            <w:tcW w:w="8370" w:type="dxa"/>
          </w:tcPr>
          <w:p w:rsidR="008F361E" w:rsidRPr="00A43A69" w:rsidRDefault="008F361E" w:rsidP="00460366">
            <w:pPr>
              <w:pStyle w:val="NoSpacing"/>
              <w:rPr>
                <w:rFonts w:cstheme="minorHAnsi"/>
                <w:lang w:val="en-GB"/>
              </w:rPr>
            </w:pPr>
            <w:r w:rsidRPr="00A43A69">
              <w:rPr>
                <w:lang w:val="en-GB"/>
              </w:rPr>
              <w:t xml:space="preserve">EIB lends € 200million for the Cairo metro line and €  45 million for community development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40F3A01" wp14:editId="7730F008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AF6" w:rsidRPr="00A43A69" w:rsidRDefault="009C2AF6" w:rsidP="009C2AF6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573E8" w:rsidRPr="00A43A69" w:rsidRDefault="002573E8" w:rsidP="002573E8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WHO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573E8" w:rsidRPr="00A43A69" w:rsidTr="00460366">
        <w:trPr>
          <w:trHeight w:val="129"/>
        </w:trPr>
        <w:tc>
          <w:tcPr>
            <w:tcW w:w="1890" w:type="dxa"/>
          </w:tcPr>
          <w:p w:rsidR="002573E8" w:rsidRPr="00A43A69" w:rsidRDefault="002573E8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43A69">
              <w:rPr>
                <w:rFonts w:asciiTheme="majorHAnsi" w:hAnsiTheme="majorHAnsi" w:cs="Arial"/>
                <w:b/>
                <w:lang w:val="en-GB"/>
              </w:rPr>
              <w:t>16 November</w:t>
            </w:r>
          </w:p>
        </w:tc>
        <w:tc>
          <w:tcPr>
            <w:tcW w:w="8370" w:type="dxa"/>
          </w:tcPr>
          <w:p w:rsidR="002573E8" w:rsidRPr="00A43A69" w:rsidRDefault="002573E8" w:rsidP="00460366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Commission welcomes positive outcome of WHO conference with signature of a protocol to stop illicit trade on tobacco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2B756189" wp14:editId="512B9DB5">
                  <wp:extent cx="161925" cy="152400"/>
                  <wp:effectExtent l="0" t="0" r="9525" b="0"/>
                  <wp:docPr id="96" name="Picture 96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E8" w:rsidRPr="00A43A69" w:rsidRDefault="002573E8" w:rsidP="009C2AF6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A43A69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43A69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A129B7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A43A69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18 – 28 November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A43A69" w:rsidRDefault="00A129B7" w:rsidP="00164EEA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 xml:space="preserve">MATRA Pre-Accession Training Programme (MATRA PATROL) – Access to Justice </w:t>
            </w:r>
            <w:r w:rsidR="00D71BA0" w:rsidRPr="00A43A69">
              <w:rPr>
                <w:rFonts w:ascii="Cambria" w:hAnsi="Cambria" w:cs="Arial"/>
                <w:lang w:val="en-GB"/>
              </w:rPr>
              <w:t>(Training Programme organis</w:t>
            </w:r>
            <w:r w:rsidRPr="00A43A69">
              <w:rPr>
                <w:rFonts w:ascii="Cambria" w:hAnsi="Cambria" w:cs="Arial"/>
                <w:lang w:val="en-GB"/>
              </w:rPr>
              <w:t xml:space="preserve">ed by T.M.C. Asser </w:t>
            </w:r>
            <w:proofErr w:type="spellStart"/>
            <w:r w:rsidRPr="00A43A69">
              <w:rPr>
                <w:rFonts w:ascii="Cambria" w:hAnsi="Cambria" w:cs="Arial"/>
                <w:lang w:val="en-GB"/>
              </w:rPr>
              <w:t>Instituut</w:t>
            </w:r>
            <w:proofErr w:type="spellEnd"/>
            <w:r w:rsidRPr="00A43A69">
              <w:rPr>
                <w:rFonts w:ascii="Cambria" w:hAnsi="Cambria" w:cs="Arial"/>
                <w:lang w:val="en-GB"/>
              </w:rPr>
              <w:t xml:space="preserve">, The Hague, NL)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14E19E6" wp14:editId="7C444AAB">
                  <wp:extent cx="161925" cy="152400"/>
                  <wp:effectExtent l="0" t="0" r="9525" b="0"/>
                  <wp:docPr id="9" name="Picture 9" descr="Description: Description: 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54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4" w:rsidRPr="00A43A69" w:rsidRDefault="004B635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21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4" w:rsidRPr="00A43A69" w:rsidRDefault="004B6354" w:rsidP="00164EEA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>Security in East Asia and beyond. Possibilities for Practical Cooperation between Japan and</w:t>
            </w:r>
            <w:r w:rsidR="00D71BA0" w:rsidRPr="00A43A69">
              <w:rPr>
                <w:rFonts w:ascii="Cambria" w:hAnsi="Cambria" w:cs="Arial"/>
                <w:lang w:val="en-GB"/>
              </w:rPr>
              <w:t xml:space="preserve"> Europe? (Expert seminar organis</w:t>
            </w:r>
            <w:r w:rsidRPr="00A43A69">
              <w:rPr>
                <w:rFonts w:ascii="Cambria" w:hAnsi="Cambria" w:cs="Arial"/>
                <w:lang w:val="en-GB"/>
              </w:rPr>
              <w:t xml:space="preserve">ed by </w:t>
            </w:r>
            <w:proofErr w:type="spellStart"/>
            <w:r w:rsidRPr="00A43A69">
              <w:rPr>
                <w:rFonts w:ascii="Cambria" w:hAnsi="Cambria" w:cs="Arial"/>
                <w:lang w:val="en-GB"/>
              </w:rPr>
              <w:t>Clingendael</w:t>
            </w:r>
            <w:proofErr w:type="spellEnd"/>
            <w:r w:rsidRPr="00A43A69">
              <w:rPr>
                <w:rFonts w:ascii="Cambria" w:hAnsi="Cambria" w:cs="Arial"/>
                <w:lang w:val="en-GB"/>
              </w:rPr>
              <w:t xml:space="preserve"> Institute and The Japan Forum on International Relations (JFIR), The Hague, NL)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2F17236" wp14:editId="63B777A1">
                  <wp:extent cx="161925" cy="152400"/>
                  <wp:effectExtent l="0" t="0" r="9525" b="0"/>
                  <wp:docPr id="31" name="Picture 31" descr="Description: Description: 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30E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0E" w:rsidRPr="00A43A69" w:rsidRDefault="0073430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22 – 23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0E" w:rsidRPr="00A43A69" w:rsidRDefault="0073430E" w:rsidP="00164EEA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>The Euro Crisis and the State of European Democracy (</w:t>
            </w:r>
            <w:r w:rsidR="00D71BA0" w:rsidRPr="00A43A69">
              <w:rPr>
                <w:rFonts w:ascii="Cambria" w:hAnsi="Cambria" w:cs="Arial"/>
                <w:lang w:val="en-GB"/>
              </w:rPr>
              <w:t>Dissemination Conference organis</w:t>
            </w:r>
            <w:r w:rsidRPr="00A43A69">
              <w:rPr>
                <w:rFonts w:ascii="Cambria" w:hAnsi="Cambria" w:cs="Arial"/>
                <w:lang w:val="en-GB"/>
              </w:rPr>
              <w:t xml:space="preserve">ed by European Union Observatory on Democracy (EUDO), European University Institute, Florence, IT)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075388D" wp14:editId="7C0743A0">
                  <wp:extent cx="161925" cy="152400"/>
                  <wp:effectExtent l="0" t="0" r="9525" b="0"/>
                  <wp:docPr id="34" name="Picture 34" descr="Description: Description: 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1A2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2" w:rsidRPr="00A43A69" w:rsidRDefault="007C01A2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22 – 23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2" w:rsidRPr="00A43A69" w:rsidRDefault="007C01A2" w:rsidP="000D0757">
            <w:pPr>
              <w:pStyle w:val="NoSpacing"/>
              <w:rPr>
                <w:rFonts w:ascii="Cambria" w:hAnsi="Cambria"/>
                <w:lang w:val="en-GB"/>
              </w:rPr>
            </w:pPr>
            <w:r w:rsidRPr="00A43A69">
              <w:rPr>
                <w:rFonts w:ascii="Cambria" w:hAnsi="Cambria"/>
                <w:lang w:val="en-GB"/>
              </w:rPr>
              <w:t>The European Ext</w:t>
            </w:r>
            <w:r w:rsidR="005643E7" w:rsidRPr="00A43A69">
              <w:rPr>
                <w:rFonts w:ascii="Cambria" w:hAnsi="Cambria"/>
                <w:lang w:val="en-GB"/>
              </w:rPr>
              <w:t xml:space="preserve">ernal Action Service: Changing </w:t>
            </w:r>
            <w:r w:rsidR="00D97989" w:rsidRPr="00A43A69">
              <w:rPr>
                <w:rFonts w:ascii="Cambria" w:hAnsi="Cambria"/>
                <w:lang w:val="en-GB"/>
              </w:rPr>
              <w:t>t</w:t>
            </w:r>
            <w:r w:rsidRPr="00A43A69">
              <w:rPr>
                <w:rFonts w:ascii="Cambria" w:hAnsi="Cambria"/>
                <w:lang w:val="en-GB"/>
              </w:rPr>
              <w:t>he Nature of Diplomacy or Old Wine in New Bottles</w:t>
            </w:r>
            <w:r w:rsidRPr="00A43A69">
              <w:rPr>
                <w:lang w:val="en-GB"/>
              </w:rPr>
              <w:t>? (</w:t>
            </w:r>
            <w:r w:rsidR="00D71BA0" w:rsidRPr="00A43A69">
              <w:rPr>
                <w:lang w:val="en-GB"/>
              </w:rPr>
              <w:t>Conference organis</w:t>
            </w:r>
            <w:r w:rsidR="000D0757" w:rsidRPr="00A43A69">
              <w:rPr>
                <w:lang w:val="en-GB"/>
              </w:rPr>
              <w:t xml:space="preserve">ed by the London </w:t>
            </w:r>
            <w:r w:rsidR="005643E7" w:rsidRPr="00A43A69">
              <w:rPr>
                <w:lang w:val="en-GB"/>
              </w:rPr>
              <w:t>School of Economics</w:t>
            </w:r>
            <w:r w:rsidR="000D0757" w:rsidRPr="00A43A69">
              <w:rPr>
                <w:lang w:val="en-GB"/>
              </w:rPr>
              <w:t xml:space="preserve"> and the </w:t>
            </w:r>
            <w:r w:rsidR="000D0757" w:rsidRPr="00A43A69">
              <w:rPr>
                <w:lang w:val="en-GB"/>
              </w:rPr>
              <w:lastRenderedPageBreak/>
              <w:t>Wyndham Place Charlemagne Trust</w:t>
            </w:r>
            <w:r w:rsidR="0069781F" w:rsidRPr="00A43A69">
              <w:rPr>
                <w:lang w:val="en-GB"/>
              </w:rPr>
              <w:t xml:space="preserve"> (WPCT)</w:t>
            </w:r>
            <w:r w:rsidR="000D0757" w:rsidRPr="00A43A69">
              <w:rPr>
                <w:lang w:val="en-GB"/>
              </w:rPr>
              <w:t xml:space="preserve">, London, UK) </w:t>
            </w:r>
            <w:r w:rsidR="000D0757"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3DBA3920" wp14:editId="2C2E5EF6">
                  <wp:extent cx="161925" cy="152400"/>
                  <wp:effectExtent l="0" t="0" r="9525" b="0"/>
                  <wp:docPr id="35" name="Picture 35" descr="Description: Description: 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9B7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A43A69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lastRenderedPageBreak/>
              <w:t>29 November –</w:t>
            </w:r>
          </w:p>
          <w:p w:rsidR="00A129B7" w:rsidRPr="00A43A69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 1 December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A43A69" w:rsidRDefault="00A129B7" w:rsidP="00164EEA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>The Future of Transnational law: EU, USA, China</w:t>
            </w:r>
            <w:r w:rsidR="00D71BA0" w:rsidRPr="00A43A69">
              <w:rPr>
                <w:rFonts w:ascii="Cambria" w:hAnsi="Cambria" w:cs="Arial"/>
                <w:lang w:val="en-GB"/>
              </w:rPr>
              <w:t xml:space="preserve"> and the BRICS (Workshop organis</w:t>
            </w:r>
            <w:r w:rsidRPr="00A43A69">
              <w:rPr>
                <w:rFonts w:ascii="Cambria" w:hAnsi="Cambria" w:cs="Arial"/>
                <w:lang w:val="en-GB"/>
              </w:rPr>
              <w:t xml:space="preserve">ed by Peking University School of Transnational Law, </w:t>
            </w:r>
            <w:proofErr w:type="spellStart"/>
            <w:r w:rsidRPr="00A43A69">
              <w:rPr>
                <w:rFonts w:ascii="Cambria" w:hAnsi="Cambria" w:cs="Arial"/>
                <w:lang w:val="en-GB"/>
              </w:rPr>
              <w:t>Shenzen</w:t>
            </w:r>
            <w:proofErr w:type="spellEnd"/>
            <w:r w:rsidRPr="00A43A69">
              <w:rPr>
                <w:rFonts w:ascii="Cambria" w:hAnsi="Cambria" w:cs="Arial"/>
                <w:lang w:val="en-GB"/>
              </w:rPr>
              <w:t xml:space="preserve">, CH)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09FDD125" wp14:editId="694D40BF">
                  <wp:extent cx="161925" cy="152400"/>
                  <wp:effectExtent l="0" t="0" r="9525" b="0"/>
                  <wp:docPr id="8" name="Picture 8" descr="Description: Description: 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DCC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A43A69" w:rsidRDefault="00EA2DCC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6 – 7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A43A69" w:rsidRDefault="00EA2DCC" w:rsidP="00EA2DCC">
            <w:pPr>
              <w:pStyle w:val="NoSpacing"/>
              <w:rPr>
                <w:rFonts w:ascii="Cambria" w:hAnsi="Cambria"/>
                <w:lang w:val="en-GB"/>
              </w:rPr>
            </w:pPr>
            <w:r w:rsidRPr="00A43A69">
              <w:rPr>
                <w:lang w:val="en-GB"/>
              </w:rPr>
              <w:t>Quo Vadis, Social Europe</w:t>
            </w:r>
            <w:r w:rsidRPr="00A43A69">
              <w:rPr>
                <w:b/>
                <w:lang w:val="en-GB"/>
              </w:rPr>
              <w:t xml:space="preserve">? </w:t>
            </w:r>
            <w:r w:rsidRPr="00A43A69">
              <w:rPr>
                <w:rStyle w:val="Strong"/>
                <w:rFonts w:cs="Arial"/>
                <w:b w:val="0"/>
                <w:lang w:val="en-GB"/>
              </w:rPr>
              <w:t>The Internal Market and Socio-Economic Issues in the Context of the European Crisis</w:t>
            </w:r>
            <w:r w:rsidR="00D71BA0" w:rsidRPr="00A43A69">
              <w:rPr>
                <w:lang w:val="en-GB"/>
              </w:rPr>
              <w:t xml:space="preserve"> (Conference organis</w:t>
            </w:r>
            <w:r w:rsidRPr="00A43A69">
              <w:rPr>
                <w:lang w:val="en-GB"/>
              </w:rPr>
              <w:t>ed by</w:t>
            </w:r>
            <w:r w:rsidRPr="00A43A69">
              <w:rPr>
                <w:b/>
                <w:lang w:val="en-GB"/>
              </w:rPr>
              <w:t xml:space="preserve"> </w:t>
            </w:r>
            <w:proofErr w:type="spellStart"/>
            <w:r w:rsidR="009A3834" w:rsidRPr="00A43A69">
              <w:rPr>
                <w:rStyle w:val="Strong"/>
                <w:rFonts w:cs="Arial"/>
                <w:b w:val="0"/>
                <w:lang w:val="en-GB"/>
              </w:rPr>
              <w:t>Université</w:t>
            </w:r>
            <w:proofErr w:type="spellEnd"/>
            <w:r w:rsidRPr="00A43A69">
              <w:rPr>
                <w:rStyle w:val="Strong"/>
                <w:rFonts w:cs="Arial"/>
                <w:b w:val="0"/>
                <w:lang w:val="en-GB"/>
              </w:rPr>
              <w:t xml:space="preserve"> </w:t>
            </w:r>
            <w:proofErr w:type="spellStart"/>
            <w:r w:rsidRPr="00A43A69">
              <w:rPr>
                <w:rStyle w:val="Strong"/>
                <w:rFonts w:cs="Arial"/>
                <w:b w:val="0"/>
                <w:lang w:val="en-GB"/>
              </w:rPr>
              <w:t>Libre</w:t>
            </w:r>
            <w:proofErr w:type="spellEnd"/>
            <w:r w:rsidRPr="00A43A69">
              <w:rPr>
                <w:rStyle w:val="Strong"/>
                <w:rFonts w:cs="Arial"/>
                <w:b w:val="0"/>
                <w:lang w:val="en-GB"/>
              </w:rPr>
              <w:t xml:space="preserve"> de </w:t>
            </w:r>
            <w:proofErr w:type="spellStart"/>
            <w:r w:rsidRPr="00A43A69">
              <w:rPr>
                <w:rStyle w:val="Strong"/>
                <w:rFonts w:cs="Arial"/>
                <w:b w:val="0"/>
                <w:lang w:val="en-GB"/>
              </w:rPr>
              <w:t>Bruxelles</w:t>
            </w:r>
            <w:proofErr w:type="spellEnd"/>
            <w:r w:rsidRPr="00A43A69">
              <w:rPr>
                <w:b/>
                <w:lang w:val="en-GB"/>
              </w:rPr>
              <w:t xml:space="preserve">, </w:t>
            </w:r>
            <w:r w:rsidRPr="00A43A69">
              <w:rPr>
                <w:rStyle w:val="Strong"/>
                <w:rFonts w:cs="Arial"/>
                <w:b w:val="0"/>
                <w:lang w:val="en-GB"/>
              </w:rPr>
              <w:t>Brussels, BE)</w:t>
            </w:r>
            <w:r w:rsidRPr="00A43A69"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43A69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53B9C417" wp14:editId="18A484FE">
                  <wp:extent cx="161925" cy="152400"/>
                  <wp:effectExtent l="0" t="0" r="9525" b="0"/>
                  <wp:docPr id="36" name="Picture 36" descr="Description: Description: 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A04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A43A69" w:rsidRDefault="00F91A0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13 – 14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A43A69" w:rsidRDefault="00F91A04" w:rsidP="00EA2DCC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Exploring Turkey’s Educational Policy: What do the global trends suggest, what do the recent amendments really amend?</w:t>
            </w:r>
            <w:r w:rsidR="001C276B" w:rsidRPr="00A43A69">
              <w:rPr>
                <w:lang w:val="en-GB"/>
              </w:rPr>
              <w:t xml:space="preserve"> (Conference organised by the Centre for Policy Analysis and Research on Turkey, Ankara, Turkey) </w:t>
            </w:r>
            <w:r w:rsidR="001C276B" w:rsidRPr="00A43A69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7A8EC78E" wp14:editId="528A9722">
                  <wp:extent cx="161925" cy="152400"/>
                  <wp:effectExtent l="0" t="0" r="9525" b="0"/>
                  <wp:docPr id="24" name="Picture 24" descr="Description: Description: 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31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A43A69" w:rsidRDefault="00C94F31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7 – 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A43A69" w:rsidRDefault="00C94F31" w:rsidP="00F25977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Political Representation in the History of International Organisations and European Integration (</w:t>
            </w:r>
            <w:r w:rsidR="008F4487" w:rsidRPr="00A43A69">
              <w:rPr>
                <w:lang w:val="en-GB"/>
              </w:rPr>
              <w:t>Conference organised by</w:t>
            </w:r>
            <w:r w:rsidR="00680102" w:rsidRPr="00A43A69">
              <w:rPr>
                <w:lang w:val="en-GB"/>
              </w:rPr>
              <w:t xml:space="preserve"> Aar</w:t>
            </w:r>
            <w:r w:rsidR="008F4487" w:rsidRPr="00A43A69">
              <w:rPr>
                <w:lang w:val="en-GB"/>
              </w:rPr>
              <w:t xml:space="preserve">hus University, </w:t>
            </w:r>
            <w:r w:rsidR="00F25977" w:rsidRPr="00A43A69">
              <w:rPr>
                <w:lang w:val="en-GB"/>
              </w:rPr>
              <w:t>Aarhus, DE)</w:t>
            </w:r>
          </w:p>
        </w:tc>
      </w:tr>
      <w:tr w:rsidR="00672BF3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A43A69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13 – 23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A43A69" w:rsidRDefault="00672BF3" w:rsidP="00EA2DCC">
            <w:pPr>
              <w:pStyle w:val="NoSpacing"/>
              <w:rPr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 xml:space="preserve">MATRA Pre-Accession Training </w:t>
            </w:r>
            <w:r w:rsidRPr="00A43A69">
              <w:rPr>
                <w:lang w:val="en-GB"/>
              </w:rPr>
              <w:t>Programme (MATRA PATROL) – Strengthening Institutional capacity in the Rule of Law</w:t>
            </w:r>
            <w:r w:rsidR="00571651" w:rsidRPr="00A43A69">
              <w:rPr>
                <w:lang w:val="en-GB"/>
              </w:rPr>
              <w:t xml:space="preserve"> - </w:t>
            </w:r>
            <w:r w:rsidR="009A3834" w:rsidRPr="00A43A69">
              <w:rPr>
                <w:lang w:val="en-GB"/>
              </w:rPr>
              <w:t>Q</w:t>
            </w:r>
            <w:r w:rsidR="00571651" w:rsidRPr="00A43A69">
              <w:rPr>
                <w:lang w:val="en-GB"/>
              </w:rPr>
              <w:t>uality, implementation and enforcement of legislation</w:t>
            </w:r>
            <w:r w:rsidRPr="00A43A69">
              <w:rPr>
                <w:lang w:val="en-GB"/>
              </w:rPr>
              <w:t xml:space="preserve"> (Training</w:t>
            </w:r>
            <w:r w:rsidRPr="00A43A69">
              <w:rPr>
                <w:rFonts w:ascii="Cambria" w:hAnsi="Cambria" w:cs="Arial"/>
                <w:lang w:val="en-GB"/>
              </w:rPr>
              <w:t xml:space="preserve"> Programme</w:t>
            </w:r>
            <w:r w:rsidR="00D71BA0" w:rsidRPr="00A43A69">
              <w:rPr>
                <w:rFonts w:ascii="Cambria" w:hAnsi="Cambria" w:cs="Arial"/>
                <w:lang w:val="en-GB"/>
              </w:rPr>
              <w:t xml:space="preserve"> organis</w:t>
            </w:r>
            <w:r w:rsidRPr="00A43A69">
              <w:rPr>
                <w:rFonts w:ascii="Cambria" w:hAnsi="Cambria" w:cs="Arial"/>
                <w:lang w:val="en-GB"/>
              </w:rPr>
              <w:t xml:space="preserve">ed by T.M.C. Asser </w:t>
            </w:r>
            <w:proofErr w:type="spellStart"/>
            <w:r w:rsidRPr="00A43A69">
              <w:rPr>
                <w:rFonts w:ascii="Cambria" w:hAnsi="Cambria" w:cs="Arial"/>
                <w:lang w:val="en-GB"/>
              </w:rPr>
              <w:t>Instituut</w:t>
            </w:r>
            <w:proofErr w:type="spellEnd"/>
            <w:r w:rsidRPr="00A43A69">
              <w:rPr>
                <w:rFonts w:ascii="Cambria" w:hAnsi="Cambria" w:cs="Arial"/>
                <w:lang w:val="en-GB"/>
              </w:rPr>
              <w:t xml:space="preserve">, The Hague, NL)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29D4D9A1" wp14:editId="65ADCD01">
                  <wp:extent cx="161925" cy="152400"/>
                  <wp:effectExtent l="0" t="0" r="9525" b="0"/>
                  <wp:docPr id="37" name="Picture 37" descr="Description: Description: 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3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A43A69" w:rsidRDefault="00AB79E3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18 – 19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A43A69" w:rsidRDefault="00AB79E3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>Doing Law beyond the State: Exploring Research Methodologies in EU and International Law (Workshop organised by the Universi</w:t>
            </w:r>
            <w:r w:rsidR="00E91421" w:rsidRPr="00A43A69">
              <w:rPr>
                <w:rFonts w:ascii="Cambria" w:hAnsi="Cambria" w:cs="Arial"/>
                <w:lang w:val="en-GB"/>
              </w:rPr>
              <w:t xml:space="preserve">ty of Sheffield, Sheffield, UK)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579E7F32" wp14:editId="76828737">
                  <wp:extent cx="161925" cy="152400"/>
                  <wp:effectExtent l="0" t="0" r="9525" b="0"/>
                  <wp:docPr id="18" name="Picture 18" descr="Description: 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A43A69" w:rsidRDefault="00EC2B7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31 January – 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A43A69" w:rsidRDefault="00EC2B7E" w:rsidP="00EC2B7E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A43A69">
              <w:rPr>
                <w:lang w:val="en-GB"/>
              </w:rPr>
              <w:t>organis</w:t>
            </w:r>
            <w:r w:rsidRPr="00A43A69">
              <w:rPr>
                <w:lang w:val="en-GB"/>
              </w:rPr>
              <w:t xml:space="preserve">ed by the European Institute of Public Administration, Maastricht, NL)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088A31F5" wp14:editId="38AB49EA">
                  <wp:extent cx="161925" cy="152400"/>
                  <wp:effectExtent l="0" t="0" r="9525" b="0"/>
                  <wp:docPr id="16" name="Picture 16" descr="Description: Description: 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A43A69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A43A69" w:rsidRDefault="00D61234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A43A69">
              <w:rPr>
                <w:rFonts w:ascii="Cambria" w:hAnsi="Cambria" w:cs="Arial"/>
                <w:lang w:val="en-GB"/>
              </w:rPr>
              <w:t>CSDP Strategy: A Reality or Wis</w:t>
            </w:r>
            <w:r w:rsidR="0013738C" w:rsidRPr="00A43A69">
              <w:rPr>
                <w:rFonts w:ascii="Cambria" w:hAnsi="Cambria" w:cs="Arial"/>
                <w:lang w:val="en-GB"/>
              </w:rPr>
              <w:t>hful Thinking? (Workshop o</w:t>
            </w:r>
            <w:r w:rsidR="00D71BA0" w:rsidRPr="00A43A69">
              <w:rPr>
                <w:rFonts w:ascii="Cambria" w:hAnsi="Cambria" w:cs="Arial"/>
                <w:lang w:val="en-GB"/>
              </w:rPr>
              <w:t>rganis</w:t>
            </w:r>
            <w:r w:rsidRPr="00A43A69">
              <w:rPr>
                <w:rFonts w:ascii="Cambria" w:hAnsi="Cambria" w:cs="Arial"/>
                <w:lang w:val="en-GB"/>
              </w:rPr>
              <w:t>ed by University of Surrey, UK)</w:t>
            </w:r>
            <w:r w:rsidR="004B019C" w:rsidRPr="00A43A69">
              <w:rPr>
                <w:rFonts w:ascii="Cambria" w:hAnsi="Cambria" w:cs="Arial"/>
                <w:lang w:val="en-GB"/>
              </w:rPr>
              <w:t xml:space="preserve">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E3F5B8B" wp14:editId="7FA7AC8C">
                  <wp:extent cx="161925" cy="152400"/>
                  <wp:effectExtent l="0" t="0" r="9525" b="0"/>
                  <wp:docPr id="38" name="Picture 38" descr="Description: Description: 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A43A69" w:rsidRDefault="00ED26CB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A43A69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A43A69" w:rsidRDefault="00ED26CB" w:rsidP="00C10FD3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The External Dimension of EU Counter-terrorism P</w:t>
            </w:r>
            <w:r w:rsidR="00C10FD3" w:rsidRPr="00A43A69">
              <w:rPr>
                <w:lang w:val="en-GB"/>
              </w:rPr>
              <w:t>olicy (Conference organised by t</w:t>
            </w:r>
            <w:r w:rsidRPr="00A43A69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</w:t>
            </w:r>
            <w:proofErr w:type="spellStart"/>
            <w:r w:rsidRPr="00A43A69">
              <w:rPr>
                <w:lang w:val="en-GB"/>
              </w:rPr>
              <w:t>Instituut</w:t>
            </w:r>
            <w:proofErr w:type="spellEnd"/>
            <w:r w:rsidRPr="00A43A69">
              <w:rPr>
                <w:lang w:val="en-GB"/>
              </w:rPr>
              <w:t xml:space="preserve">, </w:t>
            </w:r>
            <w:r w:rsidR="00C10FD3" w:rsidRPr="00A43A69">
              <w:rPr>
                <w:lang w:val="en-GB"/>
              </w:rPr>
              <w:t>Brussels, BE</w:t>
            </w:r>
            <w:r w:rsidRPr="00A43A69">
              <w:rPr>
                <w:lang w:val="en-GB"/>
              </w:rPr>
              <w:t xml:space="preserve">)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5E937AE2" wp14:editId="5ADE0C0A">
                  <wp:extent cx="161925" cy="152400"/>
                  <wp:effectExtent l="0" t="0" r="9525" b="0"/>
                  <wp:docPr id="70" name="Picture 70" descr="Description: Description: 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9DE" w:rsidRPr="00A43A69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DE" w:rsidRPr="00A43A69" w:rsidRDefault="002149D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19 – 20 April 2013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DE" w:rsidRPr="00A43A69" w:rsidRDefault="002149DE" w:rsidP="002149DE">
            <w:pPr>
              <w:pStyle w:val="NoSpacing"/>
              <w:rPr>
                <w:lang w:val="en-GB" w:eastAsia="en-GB"/>
              </w:rPr>
            </w:pPr>
            <w:r w:rsidRPr="00A43A69">
              <w:rPr>
                <w:lang w:val="en-GB" w:eastAsia="en-GB"/>
              </w:rPr>
              <w:t>EU External Environmental Governance Beyond its Neighbourhood (</w:t>
            </w:r>
            <w:r w:rsidR="00D71BA0" w:rsidRPr="00A43A69">
              <w:rPr>
                <w:lang w:val="en-GB" w:eastAsia="en-GB"/>
              </w:rPr>
              <w:t>Workshop organis</w:t>
            </w:r>
            <w:r w:rsidR="002A746F" w:rsidRPr="00A43A69">
              <w:rPr>
                <w:lang w:val="en-GB" w:eastAsia="en-GB"/>
              </w:rPr>
              <w:t>ed by</w:t>
            </w:r>
            <w:r w:rsidR="005F06FB" w:rsidRPr="00A43A69">
              <w:rPr>
                <w:lang w:val="en-GB" w:eastAsia="en-GB"/>
              </w:rPr>
              <w:t xml:space="preserve"> the Free University of Berlin, GE</w:t>
            </w:r>
            <w:r w:rsidRPr="00A43A69">
              <w:rPr>
                <w:lang w:val="en-GB" w:eastAsia="en-GB"/>
              </w:rPr>
              <w:t>)</w:t>
            </w:r>
            <w:r w:rsidR="003953D9" w:rsidRPr="00A43A69">
              <w:rPr>
                <w:lang w:val="en-GB" w:eastAsia="en-GB"/>
              </w:rPr>
              <w:t xml:space="preserve"> </w:t>
            </w:r>
            <w:r w:rsidRPr="00A43A69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380B09B" wp14:editId="4B03DD09">
                  <wp:extent cx="161925" cy="152400"/>
                  <wp:effectExtent l="0" t="0" r="9525" b="0"/>
                  <wp:docPr id="39" name="Picture 39" descr="Description: Description: 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4"/>
            </w:tblGrid>
            <w:tr w:rsidR="00A14BF1" w:rsidRPr="00A43A69" w:rsidTr="002149DE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p w:rsidR="002149DE" w:rsidRPr="00A43A69" w:rsidRDefault="002149DE" w:rsidP="002149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2149DE" w:rsidRPr="00A43A69" w:rsidRDefault="002149DE" w:rsidP="00EA2DCC">
            <w:pPr>
              <w:pStyle w:val="NoSpacing"/>
              <w:rPr>
                <w:rFonts w:ascii="Cambria" w:hAnsi="Cambria" w:cs="Arial"/>
                <w:lang w:val="en-GB"/>
              </w:rPr>
            </w:pPr>
          </w:p>
        </w:tc>
      </w:tr>
      <w:tr w:rsidR="00A129B7" w:rsidRPr="00A43A69" w:rsidTr="00ED26CB">
        <w:trPr>
          <w:trHeight w:val="67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A43A69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8F52E1" w:rsidRPr="00A43A69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Deadline: </w:t>
            </w:r>
          </w:p>
          <w:p w:rsidR="00A129B7" w:rsidRPr="00A43A69" w:rsidRDefault="00A129B7" w:rsidP="00883E72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15 November</w:t>
            </w:r>
            <w:r w:rsidR="00272898" w:rsidRPr="00A43A69">
              <w:rPr>
                <w:rFonts w:ascii="Cambria" w:hAnsi="Cambria" w:cs="Arial"/>
                <w:b/>
                <w:lang w:val="en-GB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BC" w:rsidRPr="00A43A69" w:rsidRDefault="00A129B7" w:rsidP="006964BC">
            <w:pPr>
              <w:pStyle w:val="NoSpacing"/>
              <w:rPr>
                <w:lang w:val="en-GB"/>
              </w:rPr>
            </w:pPr>
            <w:r w:rsidRPr="005277C2">
              <w:rPr>
                <w:lang w:val="en-GB"/>
              </w:rPr>
              <w:t xml:space="preserve">The EU and the Emerging Powers (Conference at the European Parliament on 29-30 April, 2013) </w:t>
            </w:r>
            <w:r w:rsidR="006F5D76" w:rsidRPr="005277C2">
              <w:rPr>
                <w:noProof/>
                <w:lang w:val="en-GB" w:eastAsia="en-GB"/>
              </w:rPr>
              <w:drawing>
                <wp:inline distT="0" distB="0" distL="0" distR="0" wp14:anchorId="5C3D6A1B" wp14:editId="3B1C640D">
                  <wp:extent cx="161925" cy="152400"/>
                  <wp:effectExtent l="0" t="0" r="9525" b="0"/>
                  <wp:docPr id="40" name="Picture 40" descr="Description: Description: 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EC" w:rsidRPr="00A43A69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EC" w:rsidRPr="00A43A69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3A7CEC" w:rsidRPr="00A43A69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 xml:space="preserve">Deadline: </w:t>
            </w:r>
          </w:p>
          <w:p w:rsidR="003A7CEC" w:rsidRPr="00A43A69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EC" w:rsidRPr="00A43A69" w:rsidRDefault="003A7CEC" w:rsidP="003A7CEC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A Nobel Price? Consequences of the European Union in Europe and in the World</w:t>
            </w:r>
          </w:p>
          <w:p w:rsidR="003A7CEC" w:rsidRPr="00A43A69" w:rsidRDefault="003A7CEC" w:rsidP="003A7CEC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1 – 2 March 2013 (Conference organized by the University of Pittsburgh, Pittsburgh, USA)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6A357692" wp14:editId="2012B4FA">
                  <wp:extent cx="161925" cy="152400"/>
                  <wp:effectExtent l="0" t="0" r="9525" b="0"/>
                  <wp:docPr id="19" name="Picture 19" descr="Description: Description: 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A43A69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A43A69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8F52E1" w:rsidRPr="00A43A69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Deadline:</w:t>
            </w:r>
          </w:p>
          <w:p w:rsidR="00272898" w:rsidRPr="00A43A69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15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A43A69" w:rsidRDefault="00E5421F" w:rsidP="006964BC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>New Approaches to Understanding Contemporary Global Energy Relations 5</w:t>
            </w:r>
            <w:r w:rsidR="00D71BA0" w:rsidRPr="00A43A69">
              <w:rPr>
                <w:lang w:val="en-GB"/>
              </w:rPr>
              <w:t xml:space="preserve"> – 8 June 2013 (Workshop organis</w:t>
            </w:r>
            <w:r w:rsidRPr="00A43A69">
              <w:rPr>
                <w:lang w:val="en-GB"/>
              </w:rPr>
              <w:t xml:space="preserve">ed by the European International Studies Association, Tartu, Estonia)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08B5B0EB" wp14:editId="3D50CF88">
                  <wp:extent cx="161925" cy="152400"/>
                  <wp:effectExtent l="0" t="0" r="9525" b="0"/>
                  <wp:docPr id="43" name="Picture 43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9C" w:rsidRPr="00A43A69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A43A69" w:rsidRDefault="00961F9C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A43A69">
              <w:rPr>
                <w:rFonts w:ascii="Cambria" w:hAnsi="Cambria" w:cs="Arial"/>
                <w:b/>
                <w:lang w:val="en-GB"/>
              </w:rPr>
              <w:t>Call for submissions: 17 December 2012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A43A69" w:rsidRDefault="00961F9C" w:rsidP="00961F9C">
            <w:pPr>
              <w:pStyle w:val="NoSpacing"/>
              <w:rPr>
                <w:lang w:val="en-GB"/>
              </w:rPr>
            </w:pPr>
            <w:r w:rsidRPr="00A43A69">
              <w:rPr>
                <w:lang w:val="en-GB"/>
              </w:rPr>
              <w:t xml:space="preserve">The European Defence Agency (EDA) - Egmont Institute PhD Prize in Defence, Security and Strategy </w:t>
            </w:r>
            <w:r w:rsidRPr="00A43A69">
              <w:rPr>
                <w:noProof/>
                <w:lang w:val="en-GB" w:eastAsia="en-GB"/>
              </w:rPr>
              <w:drawing>
                <wp:inline distT="0" distB="0" distL="0" distR="0" wp14:anchorId="60367C08" wp14:editId="254120C4">
                  <wp:extent cx="161925" cy="152400"/>
                  <wp:effectExtent l="0" t="0" r="9525" b="0"/>
                  <wp:docPr id="90" name="Picture 90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A43A69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A43A69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A43A69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A43A69">
        <w:rPr>
          <w:rFonts w:ascii="Cambria" w:hAnsi="Cambria" w:cs="Arial"/>
          <w:sz w:val="16"/>
          <w:szCs w:val="16"/>
          <w:lang w:val="en-GB"/>
        </w:rPr>
        <w:t>Petr Pribyla</w:t>
      </w:r>
      <w:r w:rsidRPr="00A43A69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A43A69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A43A69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A43A69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A43A69" w:rsidSect="00827079">
      <w:footerReference w:type="default" r:id="rId56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44" w:rsidRDefault="008C6B44">
      <w:pPr>
        <w:spacing w:after="0" w:line="240" w:lineRule="auto"/>
      </w:pPr>
      <w:r>
        <w:separator/>
      </w:r>
    </w:p>
  </w:endnote>
  <w:endnote w:type="continuationSeparator" w:id="0">
    <w:p w:rsidR="008C6B44" w:rsidRDefault="008C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484CA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66" w:rsidRDefault="004603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6B5">
      <w:rPr>
        <w:noProof/>
      </w:rPr>
      <w:t>3</w:t>
    </w:r>
    <w:r>
      <w:rPr>
        <w:noProof/>
      </w:rPr>
      <w:fldChar w:fldCharType="end"/>
    </w:r>
  </w:p>
  <w:p w:rsidR="00460366" w:rsidRDefault="00460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44" w:rsidRDefault="008C6B44">
      <w:pPr>
        <w:spacing w:after="0" w:line="240" w:lineRule="auto"/>
      </w:pPr>
      <w:r>
        <w:separator/>
      </w:r>
    </w:p>
  </w:footnote>
  <w:footnote w:type="continuationSeparator" w:id="0">
    <w:p w:rsidR="008C6B44" w:rsidRDefault="008C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05pt;height:25.0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FA7"/>
    <w:rsid w:val="000030E3"/>
    <w:rsid w:val="00003AB3"/>
    <w:rsid w:val="000076C6"/>
    <w:rsid w:val="000155EB"/>
    <w:rsid w:val="00017B3B"/>
    <w:rsid w:val="00023E70"/>
    <w:rsid w:val="0002468F"/>
    <w:rsid w:val="0003008F"/>
    <w:rsid w:val="00030F26"/>
    <w:rsid w:val="000310B4"/>
    <w:rsid w:val="00031772"/>
    <w:rsid w:val="0003265C"/>
    <w:rsid w:val="00036708"/>
    <w:rsid w:val="00040F4E"/>
    <w:rsid w:val="00046C66"/>
    <w:rsid w:val="00053598"/>
    <w:rsid w:val="00053BFC"/>
    <w:rsid w:val="00061910"/>
    <w:rsid w:val="0006228F"/>
    <w:rsid w:val="00064F3F"/>
    <w:rsid w:val="000669B2"/>
    <w:rsid w:val="00066DA8"/>
    <w:rsid w:val="00070454"/>
    <w:rsid w:val="00070786"/>
    <w:rsid w:val="00070E74"/>
    <w:rsid w:val="00076537"/>
    <w:rsid w:val="00082323"/>
    <w:rsid w:val="00086F3C"/>
    <w:rsid w:val="00087662"/>
    <w:rsid w:val="00093C3F"/>
    <w:rsid w:val="00094045"/>
    <w:rsid w:val="000A140B"/>
    <w:rsid w:val="000A1A83"/>
    <w:rsid w:val="000A327C"/>
    <w:rsid w:val="000A38C0"/>
    <w:rsid w:val="000A647B"/>
    <w:rsid w:val="000B4691"/>
    <w:rsid w:val="000C121C"/>
    <w:rsid w:val="000C6018"/>
    <w:rsid w:val="000C6BD3"/>
    <w:rsid w:val="000C700C"/>
    <w:rsid w:val="000D0757"/>
    <w:rsid w:val="000D4E84"/>
    <w:rsid w:val="000D79DA"/>
    <w:rsid w:val="000E6183"/>
    <w:rsid w:val="000E69BF"/>
    <w:rsid w:val="000E6D49"/>
    <w:rsid w:val="000F1F94"/>
    <w:rsid w:val="000F2B38"/>
    <w:rsid w:val="000F2FD2"/>
    <w:rsid w:val="001058B6"/>
    <w:rsid w:val="001108DB"/>
    <w:rsid w:val="001122F4"/>
    <w:rsid w:val="00115A39"/>
    <w:rsid w:val="001203B3"/>
    <w:rsid w:val="00122B2A"/>
    <w:rsid w:val="001239FD"/>
    <w:rsid w:val="001240C7"/>
    <w:rsid w:val="001307A3"/>
    <w:rsid w:val="00130888"/>
    <w:rsid w:val="00136778"/>
    <w:rsid w:val="0013738C"/>
    <w:rsid w:val="001402D2"/>
    <w:rsid w:val="0014112E"/>
    <w:rsid w:val="0014199D"/>
    <w:rsid w:val="0014437B"/>
    <w:rsid w:val="00151BB7"/>
    <w:rsid w:val="00157D0B"/>
    <w:rsid w:val="00162FBD"/>
    <w:rsid w:val="00164EEA"/>
    <w:rsid w:val="00166355"/>
    <w:rsid w:val="00167FEC"/>
    <w:rsid w:val="00172804"/>
    <w:rsid w:val="001763C0"/>
    <w:rsid w:val="00181C4B"/>
    <w:rsid w:val="001A3109"/>
    <w:rsid w:val="001A6007"/>
    <w:rsid w:val="001B606E"/>
    <w:rsid w:val="001B6CF6"/>
    <w:rsid w:val="001C276B"/>
    <w:rsid w:val="001C33DA"/>
    <w:rsid w:val="001C696A"/>
    <w:rsid w:val="001D0211"/>
    <w:rsid w:val="001D2A02"/>
    <w:rsid w:val="001D5F81"/>
    <w:rsid w:val="001E5C89"/>
    <w:rsid w:val="001E662B"/>
    <w:rsid w:val="001F1052"/>
    <w:rsid w:val="001F433E"/>
    <w:rsid w:val="001F634B"/>
    <w:rsid w:val="002001D8"/>
    <w:rsid w:val="00202BD2"/>
    <w:rsid w:val="00205AAF"/>
    <w:rsid w:val="00205B4F"/>
    <w:rsid w:val="00210054"/>
    <w:rsid w:val="00211621"/>
    <w:rsid w:val="002149DE"/>
    <w:rsid w:val="00214AAB"/>
    <w:rsid w:val="002164C1"/>
    <w:rsid w:val="0022173B"/>
    <w:rsid w:val="00221DD6"/>
    <w:rsid w:val="00222166"/>
    <w:rsid w:val="00227E58"/>
    <w:rsid w:val="00232E1D"/>
    <w:rsid w:val="0023772E"/>
    <w:rsid w:val="00237832"/>
    <w:rsid w:val="00240947"/>
    <w:rsid w:val="00243102"/>
    <w:rsid w:val="00247079"/>
    <w:rsid w:val="00250939"/>
    <w:rsid w:val="00251B11"/>
    <w:rsid w:val="00252D43"/>
    <w:rsid w:val="00253278"/>
    <w:rsid w:val="002540C0"/>
    <w:rsid w:val="00254CE9"/>
    <w:rsid w:val="002573E8"/>
    <w:rsid w:val="002641E5"/>
    <w:rsid w:val="0026520D"/>
    <w:rsid w:val="00265ABA"/>
    <w:rsid w:val="00272898"/>
    <w:rsid w:val="002749A7"/>
    <w:rsid w:val="00275731"/>
    <w:rsid w:val="0028026C"/>
    <w:rsid w:val="00280CDE"/>
    <w:rsid w:val="00287596"/>
    <w:rsid w:val="0029297E"/>
    <w:rsid w:val="00292EB6"/>
    <w:rsid w:val="00297390"/>
    <w:rsid w:val="00297A55"/>
    <w:rsid w:val="002A074A"/>
    <w:rsid w:val="002A0857"/>
    <w:rsid w:val="002A1A59"/>
    <w:rsid w:val="002A3109"/>
    <w:rsid w:val="002A3910"/>
    <w:rsid w:val="002A4049"/>
    <w:rsid w:val="002A5045"/>
    <w:rsid w:val="002A746F"/>
    <w:rsid w:val="002B361F"/>
    <w:rsid w:val="002B76A8"/>
    <w:rsid w:val="002B7F58"/>
    <w:rsid w:val="002C7596"/>
    <w:rsid w:val="002D01E9"/>
    <w:rsid w:val="002D1824"/>
    <w:rsid w:val="002D6433"/>
    <w:rsid w:val="002D72CA"/>
    <w:rsid w:val="002E7BD7"/>
    <w:rsid w:val="002F09BC"/>
    <w:rsid w:val="002F1522"/>
    <w:rsid w:val="002F2B7B"/>
    <w:rsid w:val="002F771A"/>
    <w:rsid w:val="002F77CA"/>
    <w:rsid w:val="00301B91"/>
    <w:rsid w:val="003028EE"/>
    <w:rsid w:val="003100E9"/>
    <w:rsid w:val="0031064A"/>
    <w:rsid w:val="00316090"/>
    <w:rsid w:val="00316ED3"/>
    <w:rsid w:val="00324BCF"/>
    <w:rsid w:val="00324BE0"/>
    <w:rsid w:val="00327C17"/>
    <w:rsid w:val="00330225"/>
    <w:rsid w:val="00332E5F"/>
    <w:rsid w:val="00333AA8"/>
    <w:rsid w:val="00334D47"/>
    <w:rsid w:val="00340AA0"/>
    <w:rsid w:val="00347F4E"/>
    <w:rsid w:val="0035135E"/>
    <w:rsid w:val="00352D34"/>
    <w:rsid w:val="003530EC"/>
    <w:rsid w:val="00354E1C"/>
    <w:rsid w:val="0035762D"/>
    <w:rsid w:val="003632A8"/>
    <w:rsid w:val="003633C3"/>
    <w:rsid w:val="00366CA2"/>
    <w:rsid w:val="00366CF1"/>
    <w:rsid w:val="0037509E"/>
    <w:rsid w:val="003754D1"/>
    <w:rsid w:val="00381A3F"/>
    <w:rsid w:val="00381D63"/>
    <w:rsid w:val="00384376"/>
    <w:rsid w:val="00387C6D"/>
    <w:rsid w:val="003907CE"/>
    <w:rsid w:val="003953D9"/>
    <w:rsid w:val="00395592"/>
    <w:rsid w:val="003968BE"/>
    <w:rsid w:val="003A55D5"/>
    <w:rsid w:val="003A72D8"/>
    <w:rsid w:val="003A7CEC"/>
    <w:rsid w:val="003B24B0"/>
    <w:rsid w:val="003B3710"/>
    <w:rsid w:val="003B463E"/>
    <w:rsid w:val="003C0FF4"/>
    <w:rsid w:val="003C3D33"/>
    <w:rsid w:val="003C6C9E"/>
    <w:rsid w:val="003C71CD"/>
    <w:rsid w:val="003D0A07"/>
    <w:rsid w:val="003D2430"/>
    <w:rsid w:val="003D2687"/>
    <w:rsid w:val="003D3765"/>
    <w:rsid w:val="003D5E49"/>
    <w:rsid w:val="003E2B7C"/>
    <w:rsid w:val="003E465E"/>
    <w:rsid w:val="003E4701"/>
    <w:rsid w:val="003E619F"/>
    <w:rsid w:val="003E6D22"/>
    <w:rsid w:val="003F05A3"/>
    <w:rsid w:val="003F667D"/>
    <w:rsid w:val="004003E1"/>
    <w:rsid w:val="0040795C"/>
    <w:rsid w:val="004102AD"/>
    <w:rsid w:val="00413B64"/>
    <w:rsid w:val="004140AF"/>
    <w:rsid w:val="0041473F"/>
    <w:rsid w:val="004159E5"/>
    <w:rsid w:val="00423286"/>
    <w:rsid w:val="004317D9"/>
    <w:rsid w:val="004339B7"/>
    <w:rsid w:val="00440528"/>
    <w:rsid w:val="00441A2F"/>
    <w:rsid w:val="0044200C"/>
    <w:rsid w:val="00442297"/>
    <w:rsid w:val="00443CA7"/>
    <w:rsid w:val="00447718"/>
    <w:rsid w:val="00450BF9"/>
    <w:rsid w:val="00451358"/>
    <w:rsid w:val="00452DF4"/>
    <w:rsid w:val="00454F55"/>
    <w:rsid w:val="00460366"/>
    <w:rsid w:val="0046136F"/>
    <w:rsid w:val="00461380"/>
    <w:rsid w:val="00462EDB"/>
    <w:rsid w:val="0046318A"/>
    <w:rsid w:val="004660F0"/>
    <w:rsid w:val="00471C65"/>
    <w:rsid w:val="00471DBE"/>
    <w:rsid w:val="00472C41"/>
    <w:rsid w:val="004768A2"/>
    <w:rsid w:val="0048455E"/>
    <w:rsid w:val="00486634"/>
    <w:rsid w:val="00490ECB"/>
    <w:rsid w:val="0049156D"/>
    <w:rsid w:val="00497D8E"/>
    <w:rsid w:val="004A0190"/>
    <w:rsid w:val="004A367D"/>
    <w:rsid w:val="004A54C6"/>
    <w:rsid w:val="004A5F3B"/>
    <w:rsid w:val="004A7761"/>
    <w:rsid w:val="004B019C"/>
    <w:rsid w:val="004B0A7A"/>
    <w:rsid w:val="004B280D"/>
    <w:rsid w:val="004B54D8"/>
    <w:rsid w:val="004B6354"/>
    <w:rsid w:val="004C2300"/>
    <w:rsid w:val="004C2D9F"/>
    <w:rsid w:val="004C36DC"/>
    <w:rsid w:val="004C3E52"/>
    <w:rsid w:val="004C3EDD"/>
    <w:rsid w:val="004C4CD2"/>
    <w:rsid w:val="004C6265"/>
    <w:rsid w:val="004C6C9A"/>
    <w:rsid w:val="004C7A13"/>
    <w:rsid w:val="004D5CDD"/>
    <w:rsid w:val="004E202E"/>
    <w:rsid w:val="004E3CB7"/>
    <w:rsid w:val="004E709F"/>
    <w:rsid w:val="004E7861"/>
    <w:rsid w:val="004F2162"/>
    <w:rsid w:val="004F2C4E"/>
    <w:rsid w:val="004F6017"/>
    <w:rsid w:val="004F6A5B"/>
    <w:rsid w:val="0050263C"/>
    <w:rsid w:val="00502D50"/>
    <w:rsid w:val="00505049"/>
    <w:rsid w:val="0050515B"/>
    <w:rsid w:val="0050563A"/>
    <w:rsid w:val="0050630B"/>
    <w:rsid w:val="00514EC1"/>
    <w:rsid w:val="00516B77"/>
    <w:rsid w:val="0051728F"/>
    <w:rsid w:val="0051743F"/>
    <w:rsid w:val="00517753"/>
    <w:rsid w:val="005226ED"/>
    <w:rsid w:val="005227C6"/>
    <w:rsid w:val="00524E4B"/>
    <w:rsid w:val="005277C2"/>
    <w:rsid w:val="00533FE4"/>
    <w:rsid w:val="0053400A"/>
    <w:rsid w:val="00537E1D"/>
    <w:rsid w:val="005429F4"/>
    <w:rsid w:val="00543B6F"/>
    <w:rsid w:val="005503E6"/>
    <w:rsid w:val="005538EE"/>
    <w:rsid w:val="00555C32"/>
    <w:rsid w:val="00560E93"/>
    <w:rsid w:val="005643E7"/>
    <w:rsid w:val="00567BE1"/>
    <w:rsid w:val="00570EF2"/>
    <w:rsid w:val="00571651"/>
    <w:rsid w:val="00572D8D"/>
    <w:rsid w:val="005767CA"/>
    <w:rsid w:val="00577BFF"/>
    <w:rsid w:val="00582B6F"/>
    <w:rsid w:val="00591AA8"/>
    <w:rsid w:val="0059370C"/>
    <w:rsid w:val="005A1BCF"/>
    <w:rsid w:val="005A309E"/>
    <w:rsid w:val="005A3EB9"/>
    <w:rsid w:val="005A469B"/>
    <w:rsid w:val="005B4A2C"/>
    <w:rsid w:val="005C1866"/>
    <w:rsid w:val="005C373E"/>
    <w:rsid w:val="005C5BAC"/>
    <w:rsid w:val="005C6618"/>
    <w:rsid w:val="005C6AB7"/>
    <w:rsid w:val="005C7D51"/>
    <w:rsid w:val="005D0122"/>
    <w:rsid w:val="005D10A4"/>
    <w:rsid w:val="005D1418"/>
    <w:rsid w:val="005D5C09"/>
    <w:rsid w:val="005D7783"/>
    <w:rsid w:val="005E2277"/>
    <w:rsid w:val="005E276F"/>
    <w:rsid w:val="005E28EA"/>
    <w:rsid w:val="005E7B60"/>
    <w:rsid w:val="005F06FB"/>
    <w:rsid w:val="005F56F7"/>
    <w:rsid w:val="005F69C7"/>
    <w:rsid w:val="00603FEB"/>
    <w:rsid w:val="00606BB6"/>
    <w:rsid w:val="00610B38"/>
    <w:rsid w:val="006110F8"/>
    <w:rsid w:val="00614BD1"/>
    <w:rsid w:val="00622988"/>
    <w:rsid w:val="00623CDF"/>
    <w:rsid w:val="00624C24"/>
    <w:rsid w:val="006251C1"/>
    <w:rsid w:val="00625289"/>
    <w:rsid w:val="00626A5B"/>
    <w:rsid w:val="00634D90"/>
    <w:rsid w:val="006359F8"/>
    <w:rsid w:val="00635AD9"/>
    <w:rsid w:val="00635F76"/>
    <w:rsid w:val="00643610"/>
    <w:rsid w:val="006474DC"/>
    <w:rsid w:val="00655B62"/>
    <w:rsid w:val="0065678E"/>
    <w:rsid w:val="00657D49"/>
    <w:rsid w:val="00661DEF"/>
    <w:rsid w:val="006646D1"/>
    <w:rsid w:val="00670D4A"/>
    <w:rsid w:val="00672BF3"/>
    <w:rsid w:val="006742DF"/>
    <w:rsid w:val="00676501"/>
    <w:rsid w:val="006775C4"/>
    <w:rsid w:val="00680102"/>
    <w:rsid w:val="00680989"/>
    <w:rsid w:val="00683279"/>
    <w:rsid w:val="0068367E"/>
    <w:rsid w:val="00684A68"/>
    <w:rsid w:val="00685A49"/>
    <w:rsid w:val="0068611B"/>
    <w:rsid w:val="006928A4"/>
    <w:rsid w:val="00695803"/>
    <w:rsid w:val="006960C8"/>
    <w:rsid w:val="006964BC"/>
    <w:rsid w:val="0069781F"/>
    <w:rsid w:val="006A2C9D"/>
    <w:rsid w:val="006A7A7C"/>
    <w:rsid w:val="006B272F"/>
    <w:rsid w:val="006B302D"/>
    <w:rsid w:val="006B6A9F"/>
    <w:rsid w:val="006B6CBA"/>
    <w:rsid w:val="006C01A7"/>
    <w:rsid w:val="006C4927"/>
    <w:rsid w:val="006C614B"/>
    <w:rsid w:val="006D2E0C"/>
    <w:rsid w:val="006D3420"/>
    <w:rsid w:val="006D40A0"/>
    <w:rsid w:val="006D460E"/>
    <w:rsid w:val="006D5149"/>
    <w:rsid w:val="006D61C1"/>
    <w:rsid w:val="006E3D36"/>
    <w:rsid w:val="006E442A"/>
    <w:rsid w:val="006E53C8"/>
    <w:rsid w:val="006E76E7"/>
    <w:rsid w:val="006E78C0"/>
    <w:rsid w:val="006E7F64"/>
    <w:rsid w:val="006E7F6B"/>
    <w:rsid w:val="006F0311"/>
    <w:rsid w:val="006F363E"/>
    <w:rsid w:val="006F4852"/>
    <w:rsid w:val="006F4951"/>
    <w:rsid w:val="006F499F"/>
    <w:rsid w:val="006F5D76"/>
    <w:rsid w:val="00706749"/>
    <w:rsid w:val="007067FA"/>
    <w:rsid w:val="007079AC"/>
    <w:rsid w:val="00711680"/>
    <w:rsid w:val="007118DD"/>
    <w:rsid w:val="007152CF"/>
    <w:rsid w:val="00715F70"/>
    <w:rsid w:val="00716434"/>
    <w:rsid w:val="007170AB"/>
    <w:rsid w:val="0072146A"/>
    <w:rsid w:val="007260D2"/>
    <w:rsid w:val="00727183"/>
    <w:rsid w:val="00732D6A"/>
    <w:rsid w:val="0073430E"/>
    <w:rsid w:val="007368D2"/>
    <w:rsid w:val="007379E6"/>
    <w:rsid w:val="00740C65"/>
    <w:rsid w:val="007414BD"/>
    <w:rsid w:val="00742451"/>
    <w:rsid w:val="00742453"/>
    <w:rsid w:val="007433AC"/>
    <w:rsid w:val="00743E22"/>
    <w:rsid w:val="00746C97"/>
    <w:rsid w:val="0075023A"/>
    <w:rsid w:val="007505D5"/>
    <w:rsid w:val="00754648"/>
    <w:rsid w:val="00756859"/>
    <w:rsid w:val="00757172"/>
    <w:rsid w:val="007576C3"/>
    <w:rsid w:val="007649AC"/>
    <w:rsid w:val="007669E1"/>
    <w:rsid w:val="0076799E"/>
    <w:rsid w:val="00771FD6"/>
    <w:rsid w:val="00772C55"/>
    <w:rsid w:val="007738EE"/>
    <w:rsid w:val="00775B0E"/>
    <w:rsid w:val="0077604A"/>
    <w:rsid w:val="00776BD4"/>
    <w:rsid w:val="007826CC"/>
    <w:rsid w:val="007966FF"/>
    <w:rsid w:val="007A17C1"/>
    <w:rsid w:val="007A1F19"/>
    <w:rsid w:val="007A3584"/>
    <w:rsid w:val="007A4EA0"/>
    <w:rsid w:val="007B0769"/>
    <w:rsid w:val="007B0B3D"/>
    <w:rsid w:val="007B10D0"/>
    <w:rsid w:val="007B690B"/>
    <w:rsid w:val="007C00D8"/>
    <w:rsid w:val="007C01A2"/>
    <w:rsid w:val="007C1590"/>
    <w:rsid w:val="007C227F"/>
    <w:rsid w:val="007C5932"/>
    <w:rsid w:val="007C6781"/>
    <w:rsid w:val="007C7364"/>
    <w:rsid w:val="007D00D7"/>
    <w:rsid w:val="007D2010"/>
    <w:rsid w:val="007D553F"/>
    <w:rsid w:val="007D7FDD"/>
    <w:rsid w:val="007E6EF2"/>
    <w:rsid w:val="007F04B6"/>
    <w:rsid w:val="007F2ECD"/>
    <w:rsid w:val="007F5138"/>
    <w:rsid w:val="00806FA7"/>
    <w:rsid w:val="0081024C"/>
    <w:rsid w:val="008130C5"/>
    <w:rsid w:val="00816AEC"/>
    <w:rsid w:val="00824C12"/>
    <w:rsid w:val="00825B73"/>
    <w:rsid w:val="00826B3A"/>
    <w:rsid w:val="00827079"/>
    <w:rsid w:val="00836E80"/>
    <w:rsid w:val="00837890"/>
    <w:rsid w:val="00841A09"/>
    <w:rsid w:val="008421D8"/>
    <w:rsid w:val="0084614B"/>
    <w:rsid w:val="00847DBC"/>
    <w:rsid w:val="00852127"/>
    <w:rsid w:val="0085379B"/>
    <w:rsid w:val="00854F7A"/>
    <w:rsid w:val="00857592"/>
    <w:rsid w:val="00857B79"/>
    <w:rsid w:val="0086160E"/>
    <w:rsid w:val="00865332"/>
    <w:rsid w:val="00865D76"/>
    <w:rsid w:val="0086661B"/>
    <w:rsid w:val="00866FC4"/>
    <w:rsid w:val="00872C6C"/>
    <w:rsid w:val="00874872"/>
    <w:rsid w:val="0087594B"/>
    <w:rsid w:val="00876719"/>
    <w:rsid w:val="00882923"/>
    <w:rsid w:val="00883E72"/>
    <w:rsid w:val="00884390"/>
    <w:rsid w:val="008844B6"/>
    <w:rsid w:val="0088572A"/>
    <w:rsid w:val="00885BD5"/>
    <w:rsid w:val="00895EE7"/>
    <w:rsid w:val="00897D69"/>
    <w:rsid w:val="008A0369"/>
    <w:rsid w:val="008A0957"/>
    <w:rsid w:val="008A240D"/>
    <w:rsid w:val="008A2499"/>
    <w:rsid w:val="008A277F"/>
    <w:rsid w:val="008A3050"/>
    <w:rsid w:val="008A4EFB"/>
    <w:rsid w:val="008A5B3C"/>
    <w:rsid w:val="008A72AC"/>
    <w:rsid w:val="008B0C77"/>
    <w:rsid w:val="008B1796"/>
    <w:rsid w:val="008B2307"/>
    <w:rsid w:val="008B2D91"/>
    <w:rsid w:val="008B3F5D"/>
    <w:rsid w:val="008C2E27"/>
    <w:rsid w:val="008C6B44"/>
    <w:rsid w:val="008C6E44"/>
    <w:rsid w:val="008D248E"/>
    <w:rsid w:val="008D31E1"/>
    <w:rsid w:val="008D3D36"/>
    <w:rsid w:val="008E0116"/>
    <w:rsid w:val="008E32C5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911"/>
    <w:rsid w:val="008F5DF7"/>
    <w:rsid w:val="0090413C"/>
    <w:rsid w:val="009043D7"/>
    <w:rsid w:val="0090442F"/>
    <w:rsid w:val="00906AA6"/>
    <w:rsid w:val="0090712C"/>
    <w:rsid w:val="009119DD"/>
    <w:rsid w:val="00911A29"/>
    <w:rsid w:val="0091300C"/>
    <w:rsid w:val="009171E4"/>
    <w:rsid w:val="009246D4"/>
    <w:rsid w:val="00924FBE"/>
    <w:rsid w:val="009277CF"/>
    <w:rsid w:val="0093352D"/>
    <w:rsid w:val="00940E68"/>
    <w:rsid w:val="009443D9"/>
    <w:rsid w:val="00951724"/>
    <w:rsid w:val="00951C9A"/>
    <w:rsid w:val="00960DD4"/>
    <w:rsid w:val="00961F9C"/>
    <w:rsid w:val="009629B5"/>
    <w:rsid w:val="00965127"/>
    <w:rsid w:val="0096619B"/>
    <w:rsid w:val="00970149"/>
    <w:rsid w:val="00970AD6"/>
    <w:rsid w:val="009721BD"/>
    <w:rsid w:val="00972F12"/>
    <w:rsid w:val="00974E96"/>
    <w:rsid w:val="00976618"/>
    <w:rsid w:val="00976655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96FC0"/>
    <w:rsid w:val="009A3834"/>
    <w:rsid w:val="009A5459"/>
    <w:rsid w:val="009A66AA"/>
    <w:rsid w:val="009A71A3"/>
    <w:rsid w:val="009B17F1"/>
    <w:rsid w:val="009B77CB"/>
    <w:rsid w:val="009B780A"/>
    <w:rsid w:val="009C15F9"/>
    <w:rsid w:val="009C2AF6"/>
    <w:rsid w:val="009C2CC8"/>
    <w:rsid w:val="009C442C"/>
    <w:rsid w:val="009D014C"/>
    <w:rsid w:val="009D1FCF"/>
    <w:rsid w:val="009D4F7B"/>
    <w:rsid w:val="009E003E"/>
    <w:rsid w:val="009E118C"/>
    <w:rsid w:val="009E2F2C"/>
    <w:rsid w:val="009E4644"/>
    <w:rsid w:val="009E7FB4"/>
    <w:rsid w:val="00A04E78"/>
    <w:rsid w:val="00A05E43"/>
    <w:rsid w:val="00A06483"/>
    <w:rsid w:val="00A1056C"/>
    <w:rsid w:val="00A129B7"/>
    <w:rsid w:val="00A14394"/>
    <w:rsid w:val="00A14BF1"/>
    <w:rsid w:val="00A1709F"/>
    <w:rsid w:val="00A2494D"/>
    <w:rsid w:val="00A3325B"/>
    <w:rsid w:val="00A334A0"/>
    <w:rsid w:val="00A35B95"/>
    <w:rsid w:val="00A36B50"/>
    <w:rsid w:val="00A40252"/>
    <w:rsid w:val="00A4210F"/>
    <w:rsid w:val="00A427DC"/>
    <w:rsid w:val="00A43A69"/>
    <w:rsid w:val="00A44CDF"/>
    <w:rsid w:val="00A45C63"/>
    <w:rsid w:val="00A45F74"/>
    <w:rsid w:val="00A46CB7"/>
    <w:rsid w:val="00A47053"/>
    <w:rsid w:val="00A5155B"/>
    <w:rsid w:val="00A531C6"/>
    <w:rsid w:val="00A56BEE"/>
    <w:rsid w:val="00A62CE2"/>
    <w:rsid w:val="00A63214"/>
    <w:rsid w:val="00A70AD8"/>
    <w:rsid w:val="00A74AD1"/>
    <w:rsid w:val="00A74F85"/>
    <w:rsid w:val="00A75D26"/>
    <w:rsid w:val="00A77804"/>
    <w:rsid w:val="00A77B2E"/>
    <w:rsid w:val="00A81F2A"/>
    <w:rsid w:val="00A853F6"/>
    <w:rsid w:val="00A86B6D"/>
    <w:rsid w:val="00A8719C"/>
    <w:rsid w:val="00A95FF3"/>
    <w:rsid w:val="00A97E1C"/>
    <w:rsid w:val="00AA4703"/>
    <w:rsid w:val="00AA47CA"/>
    <w:rsid w:val="00AA4D16"/>
    <w:rsid w:val="00AA58A9"/>
    <w:rsid w:val="00AB056E"/>
    <w:rsid w:val="00AB79E3"/>
    <w:rsid w:val="00AB7E9A"/>
    <w:rsid w:val="00AC4595"/>
    <w:rsid w:val="00AC6F6B"/>
    <w:rsid w:val="00AC7082"/>
    <w:rsid w:val="00AD19DE"/>
    <w:rsid w:val="00AD25F0"/>
    <w:rsid w:val="00AD5EFC"/>
    <w:rsid w:val="00AE174A"/>
    <w:rsid w:val="00AE2AB3"/>
    <w:rsid w:val="00AE3BB7"/>
    <w:rsid w:val="00AE790F"/>
    <w:rsid w:val="00AF430B"/>
    <w:rsid w:val="00AF4567"/>
    <w:rsid w:val="00AF5357"/>
    <w:rsid w:val="00AF5839"/>
    <w:rsid w:val="00AF61C3"/>
    <w:rsid w:val="00AF6222"/>
    <w:rsid w:val="00B03047"/>
    <w:rsid w:val="00B0418C"/>
    <w:rsid w:val="00B06D5E"/>
    <w:rsid w:val="00B0747B"/>
    <w:rsid w:val="00B11217"/>
    <w:rsid w:val="00B11DF6"/>
    <w:rsid w:val="00B1585A"/>
    <w:rsid w:val="00B165AC"/>
    <w:rsid w:val="00B20752"/>
    <w:rsid w:val="00B21B19"/>
    <w:rsid w:val="00B22DE7"/>
    <w:rsid w:val="00B23E75"/>
    <w:rsid w:val="00B24F6F"/>
    <w:rsid w:val="00B27CDE"/>
    <w:rsid w:val="00B34834"/>
    <w:rsid w:val="00B34AF1"/>
    <w:rsid w:val="00B37D4E"/>
    <w:rsid w:val="00B40043"/>
    <w:rsid w:val="00B45DDF"/>
    <w:rsid w:val="00B46954"/>
    <w:rsid w:val="00B51182"/>
    <w:rsid w:val="00B630DE"/>
    <w:rsid w:val="00B6582E"/>
    <w:rsid w:val="00B673D3"/>
    <w:rsid w:val="00B67E88"/>
    <w:rsid w:val="00B70EF1"/>
    <w:rsid w:val="00B7517E"/>
    <w:rsid w:val="00B821F6"/>
    <w:rsid w:val="00B835DD"/>
    <w:rsid w:val="00B85145"/>
    <w:rsid w:val="00B8536B"/>
    <w:rsid w:val="00B87869"/>
    <w:rsid w:val="00B9250F"/>
    <w:rsid w:val="00B93155"/>
    <w:rsid w:val="00BA410A"/>
    <w:rsid w:val="00BA44CE"/>
    <w:rsid w:val="00BA51A9"/>
    <w:rsid w:val="00BA5314"/>
    <w:rsid w:val="00BA7AD7"/>
    <w:rsid w:val="00BC4F76"/>
    <w:rsid w:val="00BC73B4"/>
    <w:rsid w:val="00BD0598"/>
    <w:rsid w:val="00BD21F4"/>
    <w:rsid w:val="00BD58A1"/>
    <w:rsid w:val="00BE3E6D"/>
    <w:rsid w:val="00C028DB"/>
    <w:rsid w:val="00C04763"/>
    <w:rsid w:val="00C04D8F"/>
    <w:rsid w:val="00C05435"/>
    <w:rsid w:val="00C0586D"/>
    <w:rsid w:val="00C10FD3"/>
    <w:rsid w:val="00C12167"/>
    <w:rsid w:val="00C127B5"/>
    <w:rsid w:val="00C12BA1"/>
    <w:rsid w:val="00C13DDC"/>
    <w:rsid w:val="00C22B77"/>
    <w:rsid w:val="00C247A3"/>
    <w:rsid w:val="00C269D8"/>
    <w:rsid w:val="00C27BF0"/>
    <w:rsid w:val="00C302B8"/>
    <w:rsid w:val="00C31D1D"/>
    <w:rsid w:val="00C35446"/>
    <w:rsid w:val="00C50492"/>
    <w:rsid w:val="00C5080B"/>
    <w:rsid w:val="00C52147"/>
    <w:rsid w:val="00C54443"/>
    <w:rsid w:val="00C553A4"/>
    <w:rsid w:val="00C62A0C"/>
    <w:rsid w:val="00C64CCE"/>
    <w:rsid w:val="00C65582"/>
    <w:rsid w:val="00C676CB"/>
    <w:rsid w:val="00C71791"/>
    <w:rsid w:val="00C7622B"/>
    <w:rsid w:val="00C80A84"/>
    <w:rsid w:val="00C83343"/>
    <w:rsid w:val="00C86359"/>
    <w:rsid w:val="00C9131B"/>
    <w:rsid w:val="00C94F31"/>
    <w:rsid w:val="00C97769"/>
    <w:rsid w:val="00CB0089"/>
    <w:rsid w:val="00CB0B9A"/>
    <w:rsid w:val="00CB3DDD"/>
    <w:rsid w:val="00CB521F"/>
    <w:rsid w:val="00CB5327"/>
    <w:rsid w:val="00CB7F91"/>
    <w:rsid w:val="00CC1624"/>
    <w:rsid w:val="00CD265D"/>
    <w:rsid w:val="00CD2926"/>
    <w:rsid w:val="00CD6894"/>
    <w:rsid w:val="00CD6A7C"/>
    <w:rsid w:val="00CD76D4"/>
    <w:rsid w:val="00CE15D8"/>
    <w:rsid w:val="00CE1A74"/>
    <w:rsid w:val="00CE1FE1"/>
    <w:rsid w:val="00CE60FD"/>
    <w:rsid w:val="00CE6238"/>
    <w:rsid w:val="00CF13F2"/>
    <w:rsid w:val="00CF4E58"/>
    <w:rsid w:val="00CF6866"/>
    <w:rsid w:val="00D02D05"/>
    <w:rsid w:val="00D047FB"/>
    <w:rsid w:val="00D05484"/>
    <w:rsid w:val="00D11021"/>
    <w:rsid w:val="00D11A3A"/>
    <w:rsid w:val="00D15657"/>
    <w:rsid w:val="00D23EB8"/>
    <w:rsid w:val="00D30E78"/>
    <w:rsid w:val="00D37A05"/>
    <w:rsid w:val="00D5242D"/>
    <w:rsid w:val="00D535C5"/>
    <w:rsid w:val="00D53C47"/>
    <w:rsid w:val="00D56A68"/>
    <w:rsid w:val="00D60B30"/>
    <w:rsid w:val="00D61234"/>
    <w:rsid w:val="00D636B5"/>
    <w:rsid w:val="00D646EA"/>
    <w:rsid w:val="00D660F8"/>
    <w:rsid w:val="00D7160E"/>
    <w:rsid w:val="00D71BA0"/>
    <w:rsid w:val="00D76849"/>
    <w:rsid w:val="00D76A46"/>
    <w:rsid w:val="00D83083"/>
    <w:rsid w:val="00D85B39"/>
    <w:rsid w:val="00D8604D"/>
    <w:rsid w:val="00D86241"/>
    <w:rsid w:val="00D90FC6"/>
    <w:rsid w:val="00D91497"/>
    <w:rsid w:val="00D92ED9"/>
    <w:rsid w:val="00D96820"/>
    <w:rsid w:val="00D97989"/>
    <w:rsid w:val="00DA15E4"/>
    <w:rsid w:val="00DA1987"/>
    <w:rsid w:val="00DA22A7"/>
    <w:rsid w:val="00DA50C0"/>
    <w:rsid w:val="00DA7ED5"/>
    <w:rsid w:val="00DB3D78"/>
    <w:rsid w:val="00DB5715"/>
    <w:rsid w:val="00DC6D81"/>
    <w:rsid w:val="00DD08B9"/>
    <w:rsid w:val="00DD0C1B"/>
    <w:rsid w:val="00DD1E3C"/>
    <w:rsid w:val="00DD279B"/>
    <w:rsid w:val="00DD7C55"/>
    <w:rsid w:val="00DE1170"/>
    <w:rsid w:val="00DE1927"/>
    <w:rsid w:val="00DE471C"/>
    <w:rsid w:val="00DF0053"/>
    <w:rsid w:val="00DF37FC"/>
    <w:rsid w:val="00DF3EFF"/>
    <w:rsid w:val="00DF69F2"/>
    <w:rsid w:val="00E00281"/>
    <w:rsid w:val="00E0069E"/>
    <w:rsid w:val="00E0480F"/>
    <w:rsid w:val="00E04E23"/>
    <w:rsid w:val="00E11E3C"/>
    <w:rsid w:val="00E148A8"/>
    <w:rsid w:val="00E15011"/>
    <w:rsid w:val="00E153DB"/>
    <w:rsid w:val="00E15A15"/>
    <w:rsid w:val="00E16472"/>
    <w:rsid w:val="00E16967"/>
    <w:rsid w:val="00E1748E"/>
    <w:rsid w:val="00E17D1A"/>
    <w:rsid w:val="00E24CF6"/>
    <w:rsid w:val="00E26BFE"/>
    <w:rsid w:val="00E2784E"/>
    <w:rsid w:val="00E32337"/>
    <w:rsid w:val="00E333DC"/>
    <w:rsid w:val="00E345C6"/>
    <w:rsid w:val="00E35B63"/>
    <w:rsid w:val="00E36A84"/>
    <w:rsid w:val="00E403E6"/>
    <w:rsid w:val="00E407E4"/>
    <w:rsid w:val="00E423D9"/>
    <w:rsid w:val="00E51EF6"/>
    <w:rsid w:val="00E52208"/>
    <w:rsid w:val="00E53B38"/>
    <w:rsid w:val="00E5421F"/>
    <w:rsid w:val="00E60817"/>
    <w:rsid w:val="00E60D43"/>
    <w:rsid w:val="00E6478B"/>
    <w:rsid w:val="00E65220"/>
    <w:rsid w:val="00E654DA"/>
    <w:rsid w:val="00E70D8D"/>
    <w:rsid w:val="00E71EA2"/>
    <w:rsid w:val="00E73606"/>
    <w:rsid w:val="00E76E71"/>
    <w:rsid w:val="00E77B67"/>
    <w:rsid w:val="00E81436"/>
    <w:rsid w:val="00E83031"/>
    <w:rsid w:val="00E83A6E"/>
    <w:rsid w:val="00E842EA"/>
    <w:rsid w:val="00E84D20"/>
    <w:rsid w:val="00E910BF"/>
    <w:rsid w:val="00E91421"/>
    <w:rsid w:val="00E9453D"/>
    <w:rsid w:val="00E94565"/>
    <w:rsid w:val="00E971CC"/>
    <w:rsid w:val="00EA2DCC"/>
    <w:rsid w:val="00EA3BB9"/>
    <w:rsid w:val="00EA3F8B"/>
    <w:rsid w:val="00EA4840"/>
    <w:rsid w:val="00EA51CD"/>
    <w:rsid w:val="00EA51E3"/>
    <w:rsid w:val="00EA5E7C"/>
    <w:rsid w:val="00EB0DA6"/>
    <w:rsid w:val="00EB4332"/>
    <w:rsid w:val="00EC2B7E"/>
    <w:rsid w:val="00EC2E07"/>
    <w:rsid w:val="00EC3C28"/>
    <w:rsid w:val="00EC7101"/>
    <w:rsid w:val="00EC78AD"/>
    <w:rsid w:val="00ED04BE"/>
    <w:rsid w:val="00ED106B"/>
    <w:rsid w:val="00ED26CB"/>
    <w:rsid w:val="00ED4A78"/>
    <w:rsid w:val="00EF2054"/>
    <w:rsid w:val="00EF2070"/>
    <w:rsid w:val="00EF6B6D"/>
    <w:rsid w:val="00EF7470"/>
    <w:rsid w:val="00F011F0"/>
    <w:rsid w:val="00F042B7"/>
    <w:rsid w:val="00F044A8"/>
    <w:rsid w:val="00F056DD"/>
    <w:rsid w:val="00F11313"/>
    <w:rsid w:val="00F114D9"/>
    <w:rsid w:val="00F12B8A"/>
    <w:rsid w:val="00F12BE5"/>
    <w:rsid w:val="00F1512A"/>
    <w:rsid w:val="00F152BE"/>
    <w:rsid w:val="00F20395"/>
    <w:rsid w:val="00F21D93"/>
    <w:rsid w:val="00F22967"/>
    <w:rsid w:val="00F25977"/>
    <w:rsid w:val="00F25C99"/>
    <w:rsid w:val="00F27B6E"/>
    <w:rsid w:val="00F32AD6"/>
    <w:rsid w:val="00F335A1"/>
    <w:rsid w:val="00F339F3"/>
    <w:rsid w:val="00F33FF5"/>
    <w:rsid w:val="00F406E9"/>
    <w:rsid w:val="00F41409"/>
    <w:rsid w:val="00F415F5"/>
    <w:rsid w:val="00F421BF"/>
    <w:rsid w:val="00F43420"/>
    <w:rsid w:val="00F43807"/>
    <w:rsid w:val="00F43EBD"/>
    <w:rsid w:val="00F56109"/>
    <w:rsid w:val="00F5701B"/>
    <w:rsid w:val="00F57DB5"/>
    <w:rsid w:val="00F636D2"/>
    <w:rsid w:val="00F70719"/>
    <w:rsid w:val="00F71A39"/>
    <w:rsid w:val="00F72758"/>
    <w:rsid w:val="00F76158"/>
    <w:rsid w:val="00F805EA"/>
    <w:rsid w:val="00F86B46"/>
    <w:rsid w:val="00F87E5F"/>
    <w:rsid w:val="00F91A04"/>
    <w:rsid w:val="00F91D37"/>
    <w:rsid w:val="00F9512F"/>
    <w:rsid w:val="00F956CD"/>
    <w:rsid w:val="00FA5C34"/>
    <w:rsid w:val="00FA735B"/>
    <w:rsid w:val="00FB0BE8"/>
    <w:rsid w:val="00FB21B8"/>
    <w:rsid w:val="00FB307F"/>
    <w:rsid w:val="00FB5BAD"/>
    <w:rsid w:val="00FB7E0D"/>
    <w:rsid w:val="00FC0F46"/>
    <w:rsid w:val="00FC2AB9"/>
    <w:rsid w:val="00FC7642"/>
    <w:rsid w:val="00FD5AC0"/>
    <w:rsid w:val="00FD76F5"/>
    <w:rsid w:val="00FE2E4E"/>
    <w:rsid w:val="00FE3F32"/>
    <w:rsid w:val="00FE4B9F"/>
    <w:rsid w:val="00FF0626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ib.org/about/press/2012/2012-160-eib-first-international-financial-institution-to-launch-a-report-on-mobile-financial-services-in-the-mediterranean-partner-countries.htm?media=rss&amp;language=en" TargetMode="External"/><Relationship Id="rId18" Type="http://schemas.openxmlformats.org/officeDocument/2006/relationships/hyperlink" Target="http://eur-lex.europa.eu/LexUriServ/LexUriServ.do?uri=OJ:L:2012:314:0027:0039:EN:PDF" TargetMode="External"/><Relationship Id="rId26" Type="http://schemas.openxmlformats.org/officeDocument/2006/relationships/hyperlink" Target="http://eur-lex.europa.eu/LexUriServ/LexUriServ.do?uri=OJ:C:2012:344:0243:0275:EN:PDF" TargetMode="External"/><Relationship Id="rId39" Type="http://schemas.openxmlformats.org/officeDocument/2006/relationships/hyperlink" Target="http://www.asser.nl/events.aspx?id=321&amp;site_id=1" TargetMode="External"/><Relationship Id="rId21" Type="http://schemas.openxmlformats.org/officeDocument/2006/relationships/hyperlink" Target="http://eur-lex.europa.eu/LexUriServ/LexUriServ.do?uri=OJ:L:2012:314:0025:0026:EN:PDF" TargetMode="External"/><Relationship Id="rId34" Type="http://schemas.openxmlformats.org/officeDocument/2006/relationships/hyperlink" Target="http://europa.eu/rapid/press-release_IP-12-1202_en.htm" TargetMode="External"/><Relationship Id="rId42" Type="http://schemas.openxmlformats.org/officeDocument/2006/relationships/hyperlink" Target="http://www2.lse.ac.uk/internationalRelations/dinamfellow/conf2012/Conference-The-European-External-Action-Service.aspx" TargetMode="External"/><Relationship Id="rId47" Type="http://schemas.openxmlformats.org/officeDocument/2006/relationships/hyperlink" Target="http://www.shef.ac.uk/law/research/clusters/sciel/scielevents/method" TargetMode="External"/><Relationship Id="rId50" Type="http://schemas.openxmlformats.org/officeDocument/2006/relationships/hyperlink" Target="http://www.asser.nl/events.aspx?id=334" TargetMode="External"/><Relationship Id="rId55" Type="http://schemas.openxmlformats.org/officeDocument/2006/relationships/hyperlink" Target="http://www.eda.europa.eu/info-hub/news/2012/11/05/call-for-submissions-eda-egmont-phd-priz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uropa.eu/rapid/press-release_COR-12-71_en.htm?locale=en" TargetMode="External"/><Relationship Id="rId17" Type="http://schemas.openxmlformats.org/officeDocument/2006/relationships/hyperlink" Target="http://register.consilium.europa.eu/pdf/en/12/st14/st14396.en12.pdf" TargetMode="External"/><Relationship Id="rId25" Type="http://schemas.openxmlformats.org/officeDocument/2006/relationships/hyperlink" Target="http://register.consilium.europa.eu/pdf/en/12/st16/st16092.en12.pdf" TargetMode="External"/><Relationship Id="rId33" Type="http://schemas.openxmlformats.org/officeDocument/2006/relationships/hyperlink" Target="http://ec.europa.eu/research/social-sciences/pdf/global-europe-2050-report_en.pdf" TargetMode="External"/><Relationship Id="rId38" Type="http://schemas.openxmlformats.org/officeDocument/2006/relationships/hyperlink" Target="http://europa.eu/rapid/press-release_IP-12-1223_en.htm?locale=en" TargetMode="External"/><Relationship Id="rId46" Type="http://schemas.openxmlformats.org/officeDocument/2006/relationships/hyperlink" Target="http://www.asser.nl/Default.aspx?site_id=1&amp;level1=13692&amp;level2=153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-release_IP-12-1215_en.htm" TargetMode="External"/><Relationship Id="rId20" Type="http://schemas.openxmlformats.org/officeDocument/2006/relationships/hyperlink" Target="http://www.eda.europa.eu/info-hub/news/2012/11/13/nanoelectronics-importance-for-defence" TargetMode="External"/><Relationship Id="rId29" Type="http://schemas.openxmlformats.org/officeDocument/2006/relationships/hyperlink" Target="http://europa.eu/rapid/press-release_IP-12-1211_en.htm?locale=en" TargetMode="External"/><Relationship Id="rId41" Type="http://schemas.openxmlformats.org/officeDocument/2006/relationships/hyperlink" Target="http://www.uaces.org/events/calendar/event.php?recordID=594" TargetMode="External"/><Relationship Id="rId54" Type="http://schemas.openxmlformats.org/officeDocument/2006/relationships/hyperlink" Target="http://www.sgir.eu/upcoming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eda.europa.eu/info-hub/publications/publication-details/pub/european-defence-matters-issue-2" TargetMode="External"/><Relationship Id="rId32" Type="http://schemas.openxmlformats.org/officeDocument/2006/relationships/hyperlink" Target="http://ec.europa.eu/public_opinion/archives/ebs/ebs_392_en.pdf" TargetMode="External"/><Relationship Id="rId37" Type="http://schemas.openxmlformats.org/officeDocument/2006/relationships/hyperlink" Target="http://www.eib.org/projects/press/2012/2012-161-egypt-eib-lends-eur-200m-for-the-cairo-metro-line-and-eur-45m-for-community-development.htm?media=rss&amp;language=en" TargetMode="External"/><Relationship Id="rId40" Type="http://schemas.openxmlformats.org/officeDocument/2006/relationships/hyperlink" Target="http://www.clingendael.nl/asia/events/20121121/" TargetMode="External"/><Relationship Id="rId45" Type="http://schemas.openxmlformats.org/officeDocument/2006/relationships/hyperlink" Target="http://researchturkey.org/wp/wordpress/?p=1603" TargetMode="External"/><Relationship Id="rId53" Type="http://schemas.openxmlformats.org/officeDocument/2006/relationships/hyperlink" Target="http://www.uaces.org/events/calendar/event.php?recordID=721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MEMO-12-854_en.htm?locale=en" TargetMode="External"/><Relationship Id="rId23" Type="http://schemas.openxmlformats.org/officeDocument/2006/relationships/hyperlink" Target="http://www.eda.europa.eu/info-hub/publications/publication-details/pub/european-defence-matters-issue-1" TargetMode="External"/><Relationship Id="rId28" Type="http://schemas.openxmlformats.org/officeDocument/2006/relationships/hyperlink" Target="http://ec.europa.eu/echo/news/2012/20121113_en.htm" TargetMode="External"/><Relationship Id="rId36" Type="http://schemas.openxmlformats.org/officeDocument/2006/relationships/hyperlink" Target="http://europa.eu/rapid/press-release_MEMO-12-856_en.htm?locale=en" TargetMode="External"/><Relationship Id="rId49" Type="http://schemas.openxmlformats.org/officeDocument/2006/relationships/hyperlink" Target="http://csdpstrategy.wordpress.com/event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uropa.eu/rapid/press-release_IP-12-1198_en.htm?locale=en" TargetMode="External"/><Relationship Id="rId19" Type="http://schemas.openxmlformats.org/officeDocument/2006/relationships/hyperlink" Target="http://eur-lex.europa.eu/LexUriServ/LexUriServ.do?uri=OJ:L:2012:314:0040:0046:EN:PDF" TargetMode="External"/><Relationship Id="rId31" Type="http://schemas.openxmlformats.org/officeDocument/2006/relationships/hyperlink" Target="http://europa.eu/rapid/press-release_IP-12-1220_en.htm?locale=en" TargetMode="External"/><Relationship Id="rId44" Type="http://schemas.openxmlformats.org/officeDocument/2006/relationships/hyperlink" Target="http://www.uaces.org/events/calendar/event.php?recordID=666" TargetMode="External"/><Relationship Id="rId52" Type="http://schemas.openxmlformats.org/officeDocument/2006/relationships/hyperlink" Target="http://gallery.mailchimp.com/ec11afe52244d6efbf2ae379c/files/EU_and_Emerging_Powers_Concept_Not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ftp://ftp.cordis.europa.eu/pub/fp7/ssh/docs/euromed2030-long-term-challenges_en.pdf" TargetMode="External"/><Relationship Id="rId22" Type="http://schemas.openxmlformats.org/officeDocument/2006/relationships/hyperlink" Target="http://www.eda.europa.eu/info-hub/news/2012/11/16/action-plan-for-harmonised-ammunition-qualification" TargetMode="External"/><Relationship Id="rId27" Type="http://schemas.openxmlformats.org/officeDocument/2006/relationships/hyperlink" Target="http://europa.eu/rapid/press-release_IP-12-1199_en.htm?locale=en" TargetMode="External"/><Relationship Id="rId30" Type="http://schemas.openxmlformats.org/officeDocument/2006/relationships/hyperlink" Target="http://europa.eu/rapid/press-release_IP-12-1204_en.htm?locale=en" TargetMode="External"/><Relationship Id="rId35" Type="http://schemas.openxmlformats.org/officeDocument/2006/relationships/hyperlink" Target="http://europa.eu/rapid/press-release_IP-12-1207_en.htm?locale=en" TargetMode="External"/><Relationship Id="rId43" Type="http://schemas.openxmlformats.org/officeDocument/2006/relationships/hyperlink" Target="http://www.uaces.org/events/calendar/event.php?recordID=575" TargetMode="External"/><Relationship Id="rId48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uaces.org/events/calendar/event.php?recordID=716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364B-2830-44F0-B6D6-0CC3F799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2012-11-20T14:35:00Z</cp:lastPrinted>
  <dcterms:created xsi:type="dcterms:W3CDTF">2012-11-21T10:27:00Z</dcterms:created>
  <dcterms:modified xsi:type="dcterms:W3CDTF">2012-11-21T10:27:00Z</dcterms:modified>
</cp:coreProperties>
</file>