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E" w:rsidRPr="00AF6EAD" w:rsidRDefault="0076799E" w:rsidP="0076799E">
      <w:pPr>
        <w:pStyle w:val="Heading1"/>
        <w:spacing w:before="0" w:beforeAutospacing="0" w:after="0" w:afterAutospacing="0" w:line="276" w:lineRule="auto"/>
        <w:jc w:val="center"/>
        <w:rPr>
          <w:sz w:val="18"/>
          <w:szCs w:val="18"/>
          <w:lang w:val="en-GB"/>
        </w:rPr>
      </w:pPr>
      <w:r w:rsidRPr="00AF6EAD">
        <w:rPr>
          <w:noProof/>
          <w:sz w:val="18"/>
          <w:szCs w:val="18"/>
        </w:rPr>
        <w:drawing>
          <wp:inline distT="0" distB="0" distL="0" distR="0" wp14:anchorId="12E4A592" wp14:editId="68B09180">
            <wp:extent cx="3217545" cy="1078230"/>
            <wp:effectExtent l="19050" t="0" r="1905" b="0"/>
            <wp:docPr id="1" name="Kép 1" descr="Centre for the Law of EU External Relations (CLE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e for the Law of EU External Relations (CLEER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99E" w:rsidRDefault="0076799E" w:rsidP="0076799E">
      <w:pPr>
        <w:pStyle w:val="Heading1"/>
        <w:spacing w:line="276" w:lineRule="auto"/>
        <w:jc w:val="center"/>
        <w:rPr>
          <w:rFonts w:ascii="Cambria" w:hAnsi="Cambria"/>
          <w:sz w:val="32"/>
          <w:szCs w:val="32"/>
        </w:rPr>
      </w:pPr>
      <w:r w:rsidRPr="00AF6EAD">
        <w:rPr>
          <w:rFonts w:ascii="Cambria" w:hAnsi="Cambria"/>
          <w:sz w:val="32"/>
          <w:szCs w:val="32"/>
        </w:rPr>
        <w:t xml:space="preserve">News Service week </w:t>
      </w:r>
      <w:r>
        <w:rPr>
          <w:rFonts w:ascii="Cambria" w:hAnsi="Cambria"/>
          <w:sz w:val="32"/>
          <w:szCs w:val="32"/>
          <w:lang w:val="hu-HU"/>
        </w:rPr>
        <w:t>1</w:t>
      </w:r>
      <w:r w:rsidR="002A3910">
        <w:rPr>
          <w:rFonts w:ascii="Cambria" w:hAnsi="Cambria"/>
          <w:sz w:val="32"/>
          <w:szCs w:val="32"/>
          <w:lang w:val="hu-HU"/>
        </w:rPr>
        <w:t>4</w:t>
      </w:r>
      <w:r w:rsidR="000310B4">
        <w:rPr>
          <w:rFonts w:ascii="Cambria" w:hAnsi="Cambria"/>
          <w:sz w:val="32"/>
          <w:szCs w:val="32"/>
        </w:rPr>
        <w:t>/</w:t>
      </w:r>
      <w:r w:rsidRPr="00AF6EAD">
        <w:rPr>
          <w:rFonts w:ascii="Cambria" w:hAnsi="Cambria"/>
          <w:sz w:val="32"/>
          <w:szCs w:val="32"/>
        </w:rPr>
        <w:t>2012</w:t>
      </w:r>
    </w:p>
    <w:p w:rsidR="0076799E" w:rsidRDefault="0076799E" w:rsidP="0076799E">
      <w:pPr>
        <w:pStyle w:val="Heading1"/>
        <w:spacing w:line="276" w:lineRule="auto"/>
        <w:jc w:val="center"/>
        <w:rPr>
          <w:rFonts w:ascii="Cambria" w:hAnsi="Cambria"/>
          <w:sz w:val="26"/>
          <w:szCs w:val="26"/>
        </w:rPr>
      </w:pPr>
      <w:r w:rsidRPr="00AF6EAD">
        <w:rPr>
          <w:rFonts w:ascii="Cambria" w:hAnsi="Cambria"/>
          <w:sz w:val="26"/>
          <w:szCs w:val="26"/>
        </w:rPr>
        <w:t>(</w:t>
      </w:r>
      <w:r>
        <w:rPr>
          <w:rFonts w:ascii="Cambria" w:hAnsi="Cambria"/>
          <w:sz w:val="26"/>
          <w:szCs w:val="26"/>
        </w:rPr>
        <w:t>2</w:t>
      </w:r>
      <w:r w:rsidR="002A3910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>–</w:t>
      </w:r>
      <w:r w:rsidR="002A3910">
        <w:rPr>
          <w:rFonts w:ascii="Cambria" w:hAnsi="Cambria"/>
          <w:sz w:val="26"/>
          <w:szCs w:val="26"/>
        </w:rPr>
        <w:t xml:space="preserve"> 8 </w:t>
      </w:r>
      <w:r>
        <w:rPr>
          <w:rFonts w:ascii="Cambria" w:hAnsi="Cambria"/>
          <w:sz w:val="26"/>
          <w:szCs w:val="26"/>
        </w:rPr>
        <w:t xml:space="preserve">April </w:t>
      </w:r>
      <w:r w:rsidRPr="00AF6EAD">
        <w:rPr>
          <w:rFonts w:ascii="Cambria" w:hAnsi="Cambria"/>
          <w:sz w:val="26"/>
          <w:szCs w:val="26"/>
        </w:rPr>
        <w:t>2012)</w:t>
      </w:r>
    </w:p>
    <w:p w:rsidR="00003AB3" w:rsidRPr="00AF6EAD" w:rsidRDefault="00003AB3" w:rsidP="00003AB3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 – WIDER EUROPE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50263C" w:rsidRPr="0091300C" w:rsidTr="00816AEC">
        <w:trPr>
          <w:trHeight w:val="129"/>
        </w:trPr>
        <w:tc>
          <w:tcPr>
            <w:tcW w:w="1530" w:type="dxa"/>
          </w:tcPr>
          <w:p w:rsidR="0050263C" w:rsidRPr="0091300C" w:rsidRDefault="0050263C" w:rsidP="00816AEC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91300C">
              <w:rPr>
                <w:rFonts w:asciiTheme="majorHAnsi" w:hAnsiTheme="majorHAnsi" w:cs="Arial"/>
                <w:b/>
                <w:lang w:val="en-GB"/>
              </w:rPr>
              <w:t>3 April</w:t>
            </w:r>
          </w:p>
        </w:tc>
        <w:tc>
          <w:tcPr>
            <w:tcW w:w="7848" w:type="dxa"/>
          </w:tcPr>
          <w:p w:rsidR="0050263C" w:rsidRPr="0091300C" w:rsidRDefault="0050263C" w:rsidP="00D110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</w:rPr>
            </w:pPr>
            <w:r w:rsidRPr="0091300C">
              <w:rPr>
                <w:rFonts w:asciiTheme="majorHAnsi" w:hAnsiTheme="majorHAnsi" w:cstheme="minorHAnsi"/>
              </w:rPr>
              <w:t xml:space="preserve">Commissioner </w:t>
            </w:r>
            <w:proofErr w:type="spellStart"/>
            <w:r w:rsidRPr="0091300C">
              <w:rPr>
                <w:rFonts w:asciiTheme="majorHAnsi" w:hAnsiTheme="majorHAnsi" w:cstheme="minorHAnsi"/>
                <w:color w:val="000000"/>
                <w:lang w:val="en"/>
              </w:rPr>
              <w:t>Füle</w:t>
            </w:r>
            <w:proofErr w:type="spellEnd"/>
            <w:r w:rsidRPr="0091300C">
              <w:rPr>
                <w:rFonts w:asciiTheme="majorHAnsi" w:hAnsiTheme="majorHAnsi" w:cstheme="minorHAnsi"/>
                <w:color w:val="000000"/>
                <w:lang w:val="en"/>
              </w:rPr>
              <w:t xml:space="preserve"> at </w:t>
            </w:r>
            <w:proofErr w:type="spellStart"/>
            <w:r w:rsidRPr="0091300C">
              <w:rPr>
                <w:rFonts w:asciiTheme="majorHAnsi" w:hAnsiTheme="majorHAnsi" w:cstheme="minorHAnsi"/>
                <w:color w:val="000000"/>
                <w:lang w:val="en"/>
              </w:rPr>
              <w:t>Euronest</w:t>
            </w:r>
            <w:proofErr w:type="spellEnd"/>
            <w:r w:rsidRPr="0091300C">
              <w:rPr>
                <w:rFonts w:asciiTheme="majorHAnsi" w:hAnsiTheme="majorHAnsi" w:cstheme="minorHAnsi"/>
                <w:color w:val="000000"/>
                <w:lang w:val="en"/>
              </w:rPr>
              <w:t xml:space="preserve"> </w:t>
            </w:r>
            <w:r w:rsidR="00D11021" w:rsidRPr="0091300C">
              <w:rPr>
                <w:rFonts w:asciiTheme="majorHAnsi" w:hAnsiTheme="majorHAnsi" w:cstheme="minorHAnsi"/>
                <w:color w:val="000000"/>
                <w:lang w:val="en"/>
              </w:rPr>
              <w:t xml:space="preserve">parliamentary assembly on plan to increase EU assistance </w:t>
            </w:r>
            <w:r w:rsidR="00D11021" w:rsidRPr="0091300C">
              <w:rPr>
                <w:rFonts w:asciiTheme="majorHAnsi" w:hAnsiTheme="majorHAnsi"/>
                <w:bCs/>
                <w:noProof/>
              </w:rPr>
              <w:drawing>
                <wp:inline distT="0" distB="0" distL="0" distR="0" wp14:anchorId="48D1D7E5" wp14:editId="3554480E">
                  <wp:extent cx="161925" cy="152400"/>
                  <wp:effectExtent l="0" t="0" r="9525" b="0"/>
                  <wp:docPr id="77" name="Picture 77" descr="ArticlesIcon1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4E36" w:rsidRDefault="00AE4E36" w:rsidP="00AE4E36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7738EE" w:rsidRPr="00AF6EAD" w:rsidRDefault="007738EE" w:rsidP="007738EE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TRADE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7738EE" w:rsidRPr="00AF6EAD" w:rsidTr="00DF0053">
        <w:trPr>
          <w:trHeight w:val="129"/>
        </w:trPr>
        <w:tc>
          <w:tcPr>
            <w:tcW w:w="1530" w:type="dxa"/>
          </w:tcPr>
          <w:p w:rsidR="007738EE" w:rsidRDefault="007738EE" w:rsidP="00EA3BB9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 April</w:t>
            </w:r>
          </w:p>
        </w:tc>
        <w:tc>
          <w:tcPr>
            <w:tcW w:w="7848" w:type="dxa"/>
          </w:tcPr>
          <w:p w:rsidR="007738EE" w:rsidRDefault="007738EE" w:rsidP="00EA3B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Commissioner De </w:t>
            </w:r>
            <w:proofErr w:type="spellStart"/>
            <w:r>
              <w:rPr>
                <w:rFonts w:asciiTheme="majorHAnsi" w:hAnsiTheme="majorHAnsi"/>
                <w:bCs/>
              </w:rPr>
              <w:t>Gucht</w:t>
            </w:r>
            <w:proofErr w:type="spellEnd"/>
            <w:r w:rsidR="00FB5BAD">
              <w:rPr>
                <w:rFonts w:asciiTheme="majorHAnsi" w:hAnsiTheme="majorHAnsi"/>
                <w:bCs/>
              </w:rPr>
              <w:t xml:space="preserve"> on trade and investment 2012 at EU-ASEAN Business Summit </w:t>
            </w:r>
            <w:r w:rsidR="00FB5BAD">
              <w:rPr>
                <w:rFonts w:ascii="Cambria" w:hAnsi="Cambria"/>
                <w:bCs/>
                <w:noProof/>
              </w:rPr>
              <w:drawing>
                <wp:inline distT="0" distB="0" distL="0" distR="0" wp14:anchorId="2C6B3AD9" wp14:editId="28BD6489">
                  <wp:extent cx="161925" cy="152400"/>
                  <wp:effectExtent l="0" t="0" r="9525" b="0"/>
                  <wp:docPr id="4" name="Picture 4" descr="ArticlesIcon1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8EE" w:rsidRPr="00AF6EAD" w:rsidTr="00DF0053">
        <w:trPr>
          <w:trHeight w:val="129"/>
        </w:trPr>
        <w:tc>
          <w:tcPr>
            <w:tcW w:w="1530" w:type="dxa"/>
          </w:tcPr>
          <w:p w:rsidR="007738EE" w:rsidRDefault="007738EE" w:rsidP="00EA3BB9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4 April</w:t>
            </w:r>
          </w:p>
        </w:tc>
        <w:tc>
          <w:tcPr>
            <w:tcW w:w="7848" w:type="dxa"/>
          </w:tcPr>
          <w:p w:rsidR="007738EE" w:rsidRDefault="007738EE" w:rsidP="00EA3B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Update on ACTA’s referral to the ECJ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04C69D1C" wp14:editId="5285FDA2">
                  <wp:extent cx="161925" cy="152400"/>
                  <wp:effectExtent l="0" t="0" r="9525" b="0"/>
                  <wp:docPr id="2" name="Picture 2" descr="ArticlesIcon1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38EE" w:rsidRDefault="007738EE" w:rsidP="007738EE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76799E" w:rsidRPr="00AF6EAD" w:rsidRDefault="0076799E" w:rsidP="0076799E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CFSP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C97769" w:rsidRPr="00AF6EAD" w:rsidTr="00174A7E">
        <w:trPr>
          <w:trHeight w:val="129"/>
        </w:trPr>
        <w:tc>
          <w:tcPr>
            <w:tcW w:w="1530" w:type="dxa"/>
          </w:tcPr>
          <w:p w:rsidR="00C97769" w:rsidRPr="00C4666E" w:rsidRDefault="00C97769" w:rsidP="00174A7E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 April</w:t>
            </w:r>
          </w:p>
        </w:tc>
        <w:tc>
          <w:tcPr>
            <w:tcW w:w="7848" w:type="dxa"/>
          </w:tcPr>
          <w:p w:rsidR="00C97769" w:rsidRPr="00C4666E" w:rsidRDefault="00C97769" w:rsidP="0017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nhancedlinksboxtitle2"/>
                <w:rFonts w:asciiTheme="majorHAnsi" w:eastAsia="Calibri" w:hAnsiTheme="majorHAnsi" w:cs="TimesNewRoman"/>
                <w:b w:val="0"/>
                <w:bCs w:val="0"/>
                <w:lang w:eastAsia="hu-HU"/>
              </w:rPr>
            </w:pPr>
            <w:r>
              <w:rPr>
                <w:rStyle w:val="enhancedlinksboxtitle2"/>
                <w:rFonts w:asciiTheme="majorHAnsi" w:eastAsia="Calibri" w:hAnsiTheme="majorHAnsi" w:cs="TimesNewRoman"/>
                <w:b w:val="0"/>
                <w:bCs w:val="0"/>
                <w:lang w:eastAsia="hu-HU"/>
              </w:rPr>
              <w:t xml:space="preserve">Monthly update of CFSP budget report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30C5D463" wp14:editId="3071A904">
                  <wp:extent cx="161925" cy="152400"/>
                  <wp:effectExtent l="0" t="0" r="9525" b="0"/>
                  <wp:docPr id="16" name="Picture 16" descr="ArticlesIcon1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769" w:rsidRPr="005468F0" w:rsidTr="00174A7E">
        <w:trPr>
          <w:trHeight w:val="129"/>
        </w:trPr>
        <w:tc>
          <w:tcPr>
            <w:tcW w:w="1530" w:type="dxa"/>
          </w:tcPr>
          <w:p w:rsidR="00C97769" w:rsidRDefault="00C97769" w:rsidP="00174A7E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3 April</w:t>
            </w:r>
          </w:p>
        </w:tc>
        <w:tc>
          <w:tcPr>
            <w:tcW w:w="7848" w:type="dxa"/>
          </w:tcPr>
          <w:p w:rsidR="00C97769" w:rsidRDefault="00C97769" w:rsidP="00174A7E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High Representative Catherine Ashton on the Declaration of global principles for domestic election observation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20D5A7F4" wp14:editId="3F9901A9">
                  <wp:extent cx="161925" cy="152400"/>
                  <wp:effectExtent l="0" t="0" r="9525" b="0"/>
                  <wp:docPr id="79" name="Picture 79" descr="ArticlesIcon1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0053" w:rsidRDefault="00DF0053" w:rsidP="00DF0053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76799E" w:rsidRPr="00AF6EAD" w:rsidRDefault="0076799E" w:rsidP="0076799E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CSDP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B85145" w:rsidRPr="00AF6EAD" w:rsidTr="00174A7E">
        <w:trPr>
          <w:trHeight w:val="129"/>
        </w:trPr>
        <w:tc>
          <w:tcPr>
            <w:tcW w:w="1530" w:type="dxa"/>
          </w:tcPr>
          <w:p w:rsidR="00B85145" w:rsidRDefault="00B85145" w:rsidP="00174A7E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 April</w:t>
            </w:r>
          </w:p>
        </w:tc>
        <w:tc>
          <w:tcPr>
            <w:tcW w:w="7848" w:type="dxa"/>
          </w:tcPr>
          <w:p w:rsidR="00B85145" w:rsidRPr="00C4666E" w:rsidRDefault="00B85145" w:rsidP="00174A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Arial"/>
                <w:bCs/>
              </w:rPr>
            </w:pPr>
            <w:r>
              <w:rPr>
                <w:rFonts w:asciiTheme="majorHAnsi" w:hAnsiTheme="majorHAnsi" w:cs="Arial"/>
                <w:bCs/>
              </w:rPr>
              <w:t xml:space="preserve">Spokeswoman of the European Commission on strengthening EU-NATO relationship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481C0FF7" wp14:editId="779D5BBB">
                  <wp:extent cx="161925" cy="152400"/>
                  <wp:effectExtent l="0" t="0" r="9525" b="0"/>
                  <wp:docPr id="6" name="Picture 6" descr="ArticlesIcon1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238" w:rsidRPr="005468F0" w:rsidTr="00985C9A">
        <w:trPr>
          <w:trHeight w:val="129"/>
        </w:trPr>
        <w:tc>
          <w:tcPr>
            <w:tcW w:w="1530" w:type="dxa"/>
          </w:tcPr>
          <w:p w:rsidR="00CE6238" w:rsidRDefault="00502D50" w:rsidP="00162FBD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E</w:t>
            </w:r>
            <w:r w:rsidR="005851E4">
              <w:rPr>
                <w:rFonts w:ascii="Cambria" w:hAnsi="Cambria" w:cs="Arial"/>
                <w:b/>
                <w:lang w:val="en-GB"/>
              </w:rPr>
              <w:t xml:space="preserve">uropean </w:t>
            </w:r>
            <w:r w:rsidR="00162FBD">
              <w:rPr>
                <w:rFonts w:ascii="Cambria" w:hAnsi="Cambria" w:cs="Arial"/>
                <w:b/>
                <w:lang w:val="en-GB"/>
              </w:rPr>
              <w:t>D</w:t>
            </w:r>
            <w:r w:rsidR="005851E4">
              <w:rPr>
                <w:rFonts w:ascii="Cambria" w:hAnsi="Cambria" w:cs="Arial"/>
                <w:b/>
                <w:lang w:val="en-GB"/>
              </w:rPr>
              <w:t xml:space="preserve">efence </w:t>
            </w:r>
            <w:r w:rsidR="00162FBD">
              <w:rPr>
                <w:rFonts w:ascii="Cambria" w:hAnsi="Cambria" w:cs="Arial"/>
                <w:b/>
                <w:lang w:val="en-GB"/>
              </w:rPr>
              <w:t>A</w:t>
            </w:r>
            <w:r w:rsidR="005851E4">
              <w:rPr>
                <w:rFonts w:ascii="Cambria" w:hAnsi="Cambria" w:cs="Arial"/>
                <w:b/>
                <w:lang w:val="en-GB"/>
              </w:rPr>
              <w:t>gency Report</w:t>
            </w:r>
          </w:p>
        </w:tc>
        <w:tc>
          <w:tcPr>
            <w:tcW w:w="7848" w:type="dxa"/>
          </w:tcPr>
          <w:p w:rsidR="00CE6238" w:rsidRDefault="00502D50" w:rsidP="00502D50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Report on 2012 Annual Conference ‘Refocusing Defence’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229076A9" wp14:editId="1B25010C">
                  <wp:extent cx="161925" cy="152400"/>
                  <wp:effectExtent l="0" t="0" r="9525" b="0"/>
                  <wp:docPr id="18" name="Picture 18" descr="ArticlesIcon1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799E" w:rsidRDefault="0076799E" w:rsidP="0076799E">
      <w:pPr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A853F6" w:rsidRPr="00AF6EAD" w:rsidRDefault="0022173B" w:rsidP="00A853F6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EXTERNAL DIMENSION OF </w:t>
      </w:r>
      <w:r w:rsidR="00A853F6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AFSJ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E24CF6" w:rsidRPr="005468F0" w:rsidTr="00A853F6">
        <w:trPr>
          <w:trHeight w:val="129"/>
        </w:trPr>
        <w:tc>
          <w:tcPr>
            <w:tcW w:w="1530" w:type="dxa"/>
          </w:tcPr>
          <w:p w:rsidR="00E24CF6" w:rsidRDefault="00E24CF6" w:rsidP="00E423D9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 April</w:t>
            </w:r>
          </w:p>
        </w:tc>
        <w:tc>
          <w:tcPr>
            <w:tcW w:w="7848" w:type="dxa"/>
          </w:tcPr>
          <w:p w:rsidR="00E24CF6" w:rsidRDefault="00E24CF6" w:rsidP="00E423D9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Exemption from the visa requirement for holders of diplomatic passports from Kazakhstan with effect from 26 April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06C8BA4D" wp14:editId="5D9FC016">
                  <wp:extent cx="161925" cy="152400"/>
                  <wp:effectExtent l="0" t="0" r="9525" b="0"/>
                  <wp:docPr id="17" name="Picture 17" descr="ArticlesIcon1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51E4" w:rsidRDefault="005851E4" w:rsidP="0076799E">
      <w:pPr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76799E" w:rsidRPr="00AF6EAD" w:rsidRDefault="0076799E" w:rsidP="0076799E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DEVELOPMENT AND COOPERATION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2749A7" w:rsidRPr="00AF6EAD" w:rsidTr="00A853F6">
        <w:trPr>
          <w:trHeight w:val="129"/>
        </w:trPr>
        <w:tc>
          <w:tcPr>
            <w:tcW w:w="1530" w:type="dxa"/>
          </w:tcPr>
          <w:p w:rsidR="002749A7" w:rsidRPr="00AF6EAD" w:rsidRDefault="00816AEC" w:rsidP="00DF0053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4 April</w:t>
            </w:r>
          </w:p>
        </w:tc>
        <w:tc>
          <w:tcPr>
            <w:tcW w:w="7848" w:type="dxa"/>
          </w:tcPr>
          <w:p w:rsidR="002749A7" w:rsidRPr="00806FA7" w:rsidRDefault="00816AEC" w:rsidP="00816AEC">
            <w:pPr>
              <w:shd w:val="clear" w:color="auto" w:fill="FFFFFF"/>
              <w:spacing w:after="0"/>
              <w:jc w:val="both"/>
              <w:outlineLvl w:val="1"/>
              <w:rPr>
                <w:rStyle w:val="enhancedlinksboxtitle2"/>
                <w:rFonts w:asciiTheme="majorHAnsi" w:eastAsia="Calibri" w:hAnsiTheme="majorHAnsi" w:cs="TTA20D4308t00"/>
                <w:b w:val="0"/>
                <w:bCs w:val="0"/>
              </w:rPr>
            </w:pPr>
            <w:r>
              <w:rPr>
                <w:rStyle w:val="enhancedlinksboxtitle2"/>
                <w:rFonts w:asciiTheme="majorHAnsi" w:eastAsia="Calibri" w:hAnsiTheme="majorHAnsi" w:cs="TTA20D4308t00"/>
                <w:b w:val="0"/>
                <w:bCs w:val="0"/>
              </w:rPr>
              <w:t xml:space="preserve">Commissioner </w:t>
            </w:r>
            <w:proofErr w:type="spellStart"/>
            <w:r>
              <w:rPr>
                <w:rStyle w:val="enhancedlinksboxtitle2"/>
                <w:rFonts w:asciiTheme="majorHAnsi" w:eastAsia="Calibri" w:hAnsiTheme="majorHAnsi" w:cs="TTA20D4308t00"/>
                <w:b w:val="0"/>
                <w:bCs w:val="0"/>
              </w:rPr>
              <w:t>Piebalgs</w:t>
            </w:r>
            <w:proofErr w:type="spellEnd"/>
            <w:r>
              <w:rPr>
                <w:rStyle w:val="enhancedlinksboxtitle2"/>
                <w:rFonts w:asciiTheme="majorHAnsi" w:eastAsia="Calibri" w:hAnsiTheme="majorHAnsi" w:cs="TTA20D4308t00"/>
                <w:b w:val="0"/>
                <w:bCs w:val="0"/>
              </w:rPr>
              <w:t xml:space="preserve"> reaffirms the EU as the world’s largest aid donor in 2011 </w:t>
            </w:r>
            <w:r>
              <w:rPr>
                <w:rStyle w:val="enhancedlinksboxtitle2"/>
                <w:rFonts w:asciiTheme="majorHAnsi" w:eastAsia="Calibri" w:hAnsiTheme="majorHAnsi" w:cs="TTA20D4308t00"/>
                <w:b w:val="0"/>
                <w:bCs w:val="0"/>
              </w:rPr>
              <w:lastRenderedPageBreak/>
              <w:t xml:space="preserve">despite the crisis </w:t>
            </w:r>
            <w:r w:rsidR="002C7596">
              <w:rPr>
                <w:rFonts w:ascii="Cambria" w:hAnsi="Cambria"/>
                <w:bCs/>
                <w:noProof/>
              </w:rPr>
              <w:drawing>
                <wp:inline distT="0" distB="0" distL="0" distR="0" wp14:anchorId="2160073D" wp14:editId="7C02682D">
                  <wp:extent cx="161925" cy="152400"/>
                  <wp:effectExtent l="0" t="0" r="9525" b="0"/>
                  <wp:docPr id="70" name="Picture 70" descr="ArticlesIcon1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728F" w:rsidRDefault="0051728F" w:rsidP="0051728F">
      <w:pPr>
        <w:pStyle w:val="ListParagraph"/>
        <w:spacing w:after="0" w:line="240" w:lineRule="auto"/>
        <w:ind w:left="360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6F4E18" w:rsidRDefault="006F4E18" w:rsidP="006F4E18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bookmarkStart w:id="0" w:name="_GoBack"/>
      <w:bookmarkEnd w:id="0"/>
    </w:p>
    <w:p w:rsidR="007738EE" w:rsidRPr="00AF6EAD" w:rsidRDefault="007738EE" w:rsidP="007738EE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 – ME</w:t>
      </w:r>
      <w:r w:rsidR="002641E5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DITERRANE</w:t>
      </w:r>
      <w:r w:rsidR="007F5138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AN RELATIONS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7738EE" w:rsidRPr="00AF6EAD" w:rsidTr="00EA3BB9">
        <w:trPr>
          <w:trHeight w:val="129"/>
        </w:trPr>
        <w:tc>
          <w:tcPr>
            <w:tcW w:w="1530" w:type="dxa"/>
          </w:tcPr>
          <w:p w:rsidR="007738EE" w:rsidRPr="00AF6EAD" w:rsidRDefault="007F5138" w:rsidP="00EA3BB9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 April</w:t>
            </w:r>
          </w:p>
        </w:tc>
        <w:tc>
          <w:tcPr>
            <w:tcW w:w="7848" w:type="dxa"/>
          </w:tcPr>
          <w:p w:rsidR="007738EE" w:rsidRPr="009E003E" w:rsidRDefault="007F5138" w:rsidP="00EA3BB9">
            <w:pPr>
              <w:shd w:val="clear" w:color="auto" w:fill="FFFFFF"/>
              <w:spacing w:after="0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 xml:space="preserve">Commissioner </w:t>
            </w:r>
            <w:proofErr w:type="spellStart"/>
            <w:r>
              <w:rPr>
                <w:rFonts w:asciiTheme="majorHAnsi" w:hAnsiTheme="majorHAnsi"/>
                <w:color w:val="000000"/>
              </w:rPr>
              <w:t>Geoghegan</w:t>
            </w:r>
            <w:proofErr w:type="spellEnd"/>
            <w:r>
              <w:rPr>
                <w:rFonts w:asciiTheme="majorHAnsi" w:hAnsiTheme="majorHAnsi"/>
                <w:color w:val="000000"/>
              </w:rPr>
              <w:t xml:space="preserve">-Quinn on research cooperation at Euro-Mediterranean Conference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49DE2DE3" wp14:editId="6B933EDF">
                  <wp:extent cx="161925" cy="152400"/>
                  <wp:effectExtent l="0" t="0" r="9525" b="0"/>
                  <wp:docPr id="5" name="Picture 5" descr="ArticlesIcon1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5127" w:rsidRPr="005468F0" w:rsidTr="00174A7E">
        <w:trPr>
          <w:trHeight w:val="129"/>
        </w:trPr>
        <w:tc>
          <w:tcPr>
            <w:tcW w:w="1530" w:type="dxa"/>
          </w:tcPr>
          <w:p w:rsidR="00965127" w:rsidRPr="00466719" w:rsidRDefault="00965127" w:rsidP="00174A7E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2 April</w:t>
            </w:r>
          </w:p>
        </w:tc>
        <w:tc>
          <w:tcPr>
            <w:tcW w:w="7848" w:type="dxa"/>
          </w:tcPr>
          <w:p w:rsidR="00965127" w:rsidRPr="005851E4" w:rsidRDefault="00965127" w:rsidP="00174A7E">
            <w:pPr>
              <w:pStyle w:val="Heading1"/>
              <w:jc w:val="both"/>
              <w:rPr>
                <w:rFonts w:asciiTheme="majorHAnsi" w:hAnsiTheme="majorHAnsi"/>
                <w:b w:val="0"/>
                <w:color w:val="000000"/>
                <w:sz w:val="22"/>
                <w:szCs w:val="22"/>
                <w:lang w:val="en"/>
              </w:rPr>
            </w:pPr>
            <w:r w:rsidRPr="005851E4">
              <w:rPr>
                <w:rFonts w:asciiTheme="majorHAnsi" w:hAnsiTheme="majorHAnsi"/>
                <w:b w:val="0"/>
                <w:color w:val="000000"/>
                <w:sz w:val="22"/>
                <w:szCs w:val="22"/>
                <w:lang w:val="en"/>
              </w:rPr>
              <w:t xml:space="preserve">EU multilateral relations with southern partners: reflections on future prospects </w:t>
            </w:r>
            <w:r w:rsidRPr="005851E4">
              <w:rPr>
                <w:rFonts w:asciiTheme="majorHAnsi" w:hAnsiTheme="majorHAnsi"/>
                <w:bCs w:val="0"/>
                <w:noProof/>
              </w:rPr>
              <w:drawing>
                <wp:inline distT="0" distB="0" distL="0" distR="0" wp14:anchorId="0ADFCFF3" wp14:editId="47395626">
                  <wp:extent cx="161925" cy="152400"/>
                  <wp:effectExtent l="0" t="0" r="9525" b="0"/>
                  <wp:docPr id="8" name="Picture 8" descr="ArticlesIcon1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38EE" w:rsidRDefault="007738EE" w:rsidP="007738EE">
      <w:pPr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7738EE" w:rsidRPr="00AF6EAD" w:rsidRDefault="007738EE" w:rsidP="007738EE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 – LATIN AMERICA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7738EE" w:rsidRPr="00AF6EAD" w:rsidTr="00EA3BB9">
        <w:trPr>
          <w:trHeight w:val="129"/>
        </w:trPr>
        <w:tc>
          <w:tcPr>
            <w:tcW w:w="1530" w:type="dxa"/>
          </w:tcPr>
          <w:p w:rsidR="007738EE" w:rsidRDefault="007738EE" w:rsidP="00EA3BB9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3 April</w:t>
            </w:r>
          </w:p>
        </w:tc>
        <w:tc>
          <w:tcPr>
            <w:tcW w:w="7848" w:type="dxa"/>
          </w:tcPr>
          <w:p w:rsidR="007738EE" w:rsidRDefault="007738EE" w:rsidP="00EA3BB9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High Representative Catherine Ashton on the ratification of the Rome Statute of the International Criminal Court by Guatemala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03FC833C" wp14:editId="0943559D">
                  <wp:extent cx="161925" cy="152400"/>
                  <wp:effectExtent l="0" t="0" r="9525" b="0"/>
                  <wp:docPr id="78" name="Picture 78" descr="ArticlesIcon1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38EE" w:rsidRDefault="007738EE" w:rsidP="007738EE">
      <w:pPr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51728F" w:rsidRPr="005468F0" w:rsidRDefault="0051728F" w:rsidP="0051728F">
      <w:pPr>
        <w:pStyle w:val="ListParagraph"/>
        <w:numPr>
          <w:ilvl w:val="0"/>
          <w:numId w:val="1"/>
        </w:numPr>
        <w:spacing w:after="0" w:line="240" w:lineRule="auto"/>
        <w:ind w:hanging="270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EVENTS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F32AD6" w:rsidRPr="005468F0" w:rsidTr="00985C9A">
        <w:trPr>
          <w:trHeight w:val="129"/>
        </w:trPr>
        <w:tc>
          <w:tcPr>
            <w:tcW w:w="1530" w:type="dxa"/>
          </w:tcPr>
          <w:p w:rsidR="00F32AD6" w:rsidRDefault="00533FE4" w:rsidP="00985C9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19 April</w:t>
            </w:r>
          </w:p>
        </w:tc>
        <w:tc>
          <w:tcPr>
            <w:tcW w:w="7848" w:type="dxa"/>
          </w:tcPr>
          <w:p w:rsidR="00F32AD6" w:rsidRDefault="00533FE4" w:rsidP="00670D4A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‘The Future of Europe: Towards the European Dream?’, </w:t>
            </w:r>
            <w:r w:rsidR="00670D4A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Seminar organised by </w:t>
            </w:r>
            <w:proofErr w:type="spellStart"/>
            <w:r w:rsidR="00670D4A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Civitatis</w:t>
            </w:r>
            <w:proofErr w:type="spellEnd"/>
            <w:r w:rsidR="00670D4A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International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</w:t>
            </w:r>
            <w:r w:rsidR="00670D4A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and the Office of the European Parliament in London, UK </w:t>
            </w:r>
            <w:r w:rsidR="00F32AD6">
              <w:rPr>
                <w:rFonts w:ascii="Cambria" w:hAnsi="Cambria"/>
                <w:bCs/>
                <w:noProof/>
              </w:rPr>
              <w:drawing>
                <wp:inline distT="0" distB="0" distL="0" distR="0" wp14:anchorId="189EC830" wp14:editId="1E72862C">
                  <wp:extent cx="161925" cy="152400"/>
                  <wp:effectExtent l="0" t="0" r="9525" b="0"/>
                  <wp:docPr id="21" name="Picture 21" descr="ArticlesIcon1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AD6" w:rsidRPr="005468F0" w:rsidTr="00985C9A">
        <w:trPr>
          <w:trHeight w:val="129"/>
        </w:trPr>
        <w:tc>
          <w:tcPr>
            <w:tcW w:w="1530" w:type="dxa"/>
          </w:tcPr>
          <w:p w:rsidR="00F32AD6" w:rsidRDefault="00F32AD6" w:rsidP="00985C9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 xml:space="preserve">19 April </w:t>
            </w:r>
          </w:p>
        </w:tc>
        <w:tc>
          <w:tcPr>
            <w:tcW w:w="7848" w:type="dxa"/>
          </w:tcPr>
          <w:p w:rsidR="00F32AD6" w:rsidRDefault="005851E4" w:rsidP="005851E4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‘The experiences of the Polish P</w:t>
            </w:r>
            <w:r w:rsidR="00F32AD6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residency of the Council of the EU</w:t>
            </w:r>
            <w:r w:rsidR="002540C0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in the 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f</w:t>
            </w:r>
            <w:r w:rsidR="002540C0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ield of 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e</w:t>
            </w:r>
            <w:r w:rsidR="002540C0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xternal 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r</w:t>
            </w:r>
            <w:r w:rsidR="002540C0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elations</w:t>
            </w:r>
            <w:r w:rsidR="00F32AD6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’, Presentation organised by T.M.C. Asser </w:t>
            </w:r>
            <w:proofErr w:type="spellStart"/>
            <w:r w:rsidR="00F32AD6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Instituut</w:t>
            </w:r>
            <w:proofErr w:type="spellEnd"/>
            <w:r w:rsidR="00F32AD6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, CLEER, and the Embassy of the Republic of Poland in The Hague, NL </w:t>
            </w:r>
            <w:r w:rsidR="00F32AD6">
              <w:rPr>
                <w:rFonts w:ascii="Cambria" w:hAnsi="Cambria"/>
                <w:bCs/>
                <w:noProof/>
              </w:rPr>
              <w:drawing>
                <wp:inline distT="0" distB="0" distL="0" distR="0" wp14:anchorId="5466F62C" wp14:editId="0CFEC9D5">
                  <wp:extent cx="161925" cy="152400"/>
                  <wp:effectExtent l="0" t="0" r="9525" b="0"/>
                  <wp:docPr id="73" name="Picture 73" descr="ArticlesIcon1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E22" w:rsidRPr="005468F0" w:rsidTr="008F4C33">
        <w:trPr>
          <w:trHeight w:val="129"/>
        </w:trPr>
        <w:tc>
          <w:tcPr>
            <w:tcW w:w="1530" w:type="dxa"/>
          </w:tcPr>
          <w:p w:rsidR="00743E22" w:rsidRDefault="00743E22" w:rsidP="008F4C33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19-20 April</w:t>
            </w:r>
          </w:p>
        </w:tc>
        <w:tc>
          <w:tcPr>
            <w:tcW w:w="7848" w:type="dxa"/>
          </w:tcPr>
          <w:p w:rsidR="00743E22" w:rsidRDefault="00743E22" w:rsidP="008F4C33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‘The EU and China – Partners for a Green World’, Conference organised by College of Europe, the </w:t>
            </w:r>
            <w:proofErr w:type="spellStart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Madariaga</w:t>
            </w:r>
            <w:proofErr w:type="spellEnd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– College of Europe Foundation and distinguished Chinese partners, </w:t>
            </w:r>
            <w:r w:rsidR="002540C0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Brussels, 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BE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608A99EB" wp14:editId="403FC887">
                  <wp:extent cx="161925" cy="152400"/>
                  <wp:effectExtent l="0" t="0" r="9525" b="0"/>
                  <wp:docPr id="27" name="Picture 27" descr="ArticlesIcon1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AAF" w:rsidRPr="005468F0" w:rsidTr="008F4C33">
        <w:trPr>
          <w:trHeight w:val="129"/>
        </w:trPr>
        <w:tc>
          <w:tcPr>
            <w:tcW w:w="1530" w:type="dxa"/>
          </w:tcPr>
          <w:p w:rsidR="00205AAF" w:rsidRDefault="00205AAF" w:rsidP="008F4C33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22-28 April</w:t>
            </w:r>
          </w:p>
        </w:tc>
        <w:tc>
          <w:tcPr>
            <w:tcW w:w="7848" w:type="dxa"/>
          </w:tcPr>
          <w:p w:rsidR="00205AAF" w:rsidRDefault="00205AAF" w:rsidP="008F4C33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‘EU Enlargement: Identities, Values and Market’, Seminar organised by Jean Monnet Chair of European Public Law, University of Zagreb, Faculty of Law, Croatia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7DAC09C8" wp14:editId="4C003025">
                  <wp:extent cx="161925" cy="152400"/>
                  <wp:effectExtent l="0" t="0" r="9525" b="0"/>
                  <wp:docPr id="28" name="Picture 28" descr="ArticlesIcon1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6CC" w:rsidRPr="005468F0" w:rsidTr="008F4C33">
        <w:trPr>
          <w:trHeight w:val="129"/>
        </w:trPr>
        <w:tc>
          <w:tcPr>
            <w:tcW w:w="1530" w:type="dxa"/>
          </w:tcPr>
          <w:p w:rsidR="007826CC" w:rsidRDefault="007826CC" w:rsidP="008F4C33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23-27 April</w:t>
            </w:r>
          </w:p>
        </w:tc>
        <w:tc>
          <w:tcPr>
            <w:tcW w:w="7848" w:type="dxa"/>
          </w:tcPr>
          <w:p w:rsidR="007826CC" w:rsidRDefault="007826CC" w:rsidP="008F4C33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‘EU Diplomacy: Gaining valuable insight into the work of the EEAS’, Training programme organised by College of Europe, </w:t>
            </w:r>
            <w:proofErr w:type="spellStart"/>
            <w:r w:rsidR="00977C2D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Bruge</w:t>
            </w:r>
            <w:proofErr w:type="spellEnd"/>
            <w:r w:rsidR="00977C2D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, 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BE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51F05EC8" wp14:editId="0D70F5CD">
                  <wp:extent cx="161925" cy="152400"/>
                  <wp:effectExtent l="0" t="0" r="9525" b="0"/>
                  <wp:docPr id="30" name="Picture 30" descr="ArticlesIcon1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1C1" w:rsidRPr="005468F0" w:rsidTr="008F4C33">
        <w:trPr>
          <w:trHeight w:val="129"/>
        </w:trPr>
        <w:tc>
          <w:tcPr>
            <w:tcW w:w="1530" w:type="dxa"/>
          </w:tcPr>
          <w:p w:rsidR="006251C1" w:rsidRDefault="006251C1" w:rsidP="008F4C33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25 April</w:t>
            </w:r>
          </w:p>
        </w:tc>
        <w:tc>
          <w:tcPr>
            <w:tcW w:w="7848" w:type="dxa"/>
          </w:tcPr>
          <w:p w:rsidR="006251C1" w:rsidRDefault="006251C1" w:rsidP="008F4C33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‘Quo </w:t>
            </w:r>
            <w:proofErr w:type="spellStart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vadis</w:t>
            </w:r>
            <w:proofErr w:type="spellEnd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EU: The EU Abroad in the World’, Webinar organised by the Institute for European Studies, </w:t>
            </w:r>
            <w:proofErr w:type="spellStart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Vrije</w:t>
            </w:r>
            <w:proofErr w:type="spellEnd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</w:t>
            </w:r>
            <w:proofErr w:type="spellStart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Universiteit</w:t>
            </w:r>
            <w:proofErr w:type="spellEnd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</w:t>
            </w:r>
            <w:proofErr w:type="spellStart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Brussel</w:t>
            </w:r>
            <w:proofErr w:type="spellEnd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, online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564BFE19" wp14:editId="3C5FDDF3">
                  <wp:extent cx="161925" cy="152400"/>
                  <wp:effectExtent l="0" t="0" r="9525" b="0"/>
                  <wp:docPr id="29" name="Picture 29" descr="ArticlesIcon1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1C1" w:rsidRPr="005468F0" w:rsidTr="008F4C33">
        <w:trPr>
          <w:trHeight w:val="129"/>
        </w:trPr>
        <w:tc>
          <w:tcPr>
            <w:tcW w:w="1530" w:type="dxa"/>
          </w:tcPr>
          <w:p w:rsidR="006251C1" w:rsidRDefault="006251C1" w:rsidP="008F4C33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26-27 April</w:t>
            </w:r>
          </w:p>
        </w:tc>
        <w:tc>
          <w:tcPr>
            <w:tcW w:w="7848" w:type="dxa"/>
          </w:tcPr>
          <w:p w:rsidR="006251C1" w:rsidRDefault="006251C1" w:rsidP="008F4C33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‘Management and Control Structures for Migration Funds’, Seminar organised by European Institute of Public Administration (EIPA), </w:t>
            </w:r>
            <w:r w:rsidR="008E759E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Maastricht, 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NL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1A9F5193" wp14:editId="6D093FB4">
                  <wp:extent cx="161925" cy="152400"/>
                  <wp:effectExtent l="0" t="0" r="9525" b="0"/>
                  <wp:docPr id="26" name="Picture 26" descr="ArticlesIcon1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F3C" w:rsidRPr="005468F0" w:rsidTr="008F4C33">
        <w:trPr>
          <w:trHeight w:val="129"/>
        </w:trPr>
        <w:tc>
          <w:tcPr>
            <w:tcW w:w="1530" w:type="dxa"/>
          </w:tcPr>
          <w:p w:rsidR="00086F3C" w:rsidRDefault="00086F3C" w:rsidP="008F4C33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27-28 April</w:t>
            </w:r>
          </w:p>
        </w:tc>
        <w:tc>
          <w:tcPr>
            <w:tcW w:w="7848" w:type="dxa"/>
          </w:tcPr>
          <w:p w:rsidR="00086F3C" w:rsidRDefault="00086F3C" w:rsidP="00086F3C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‘The Second </w:t>
            </w:r>
            <w:proofErr w:type="spellStart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Euroacademia</w:t>
            </w:r>
            <w:proofErr w:type="spellEnd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Global Conference – Europe Inside-Out: Europe and </w:t>
            </w:r>
            <w:proofErr w:type="spellStart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Europeaness</w:t>
            </w:r>
            <w:proofErr w:type="spellEnd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Exposed to Plural Observers’, Conference organised by </w:t>
            </w:r>
            <w:proofErr w:type="spellStart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Euroacademia</w:t>
            </w:r>
            <w:proofErr w:type="spellEnd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,</w:t>
            </w:r>
            <w:r w:rsidR="00EF2054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Paris,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FR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1444EBBC" wp14:editId="3314388E">
                  <wp:extent cx="161925" cy="152400"/>
                  <wp:effectExtent l="0" t="0" r="9525" b="0"/>
                  <wp:docPr id="32" name="Picture 32" descr="ArticlesIcon1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5A3" w:rsidRPr="005468F0" w:rsidTr="00174A7E">
        <w:trPr>
          <w:trHeight w:val="129"/>
        </w:trPr>
        <w:tc>
          <w:tcPr>
            <w:tcW w:w="1530" w:type="dxa"/>
          </w:tcPr>
          <w:p w:rsidR="003F05A3" w:rsidRDefault="003F05A3" w:rsidP="00174A7E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10-11 May</w:t>
            </w:r>
          </w:p>
        </w:tc>
        <w:tc>
          <w:tcPr>
            <w:tcW w:w="7848" w:type="dxa"/>
          </w:tcPr>
          <w:p w:rsidR="003F05A3" w:rsidRDefault="003F05A3" w:rsidP="00174A7E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‘One year after the Arab Spring: </w:t>
            </w:r>
            <w:r w:rsidRPr="00D95A48">
              <w:rPr>
                <w:rFonts w:asciiTheme="majorHAnsi" w:hAnsiTheme="majorHAnsi"/>
                <w:bCs/>
                <w:iCs/>
              </w:rPr>
              <w:t>The European Union’s relations with the Southern-Mediterranean region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’, Conference organised by CLEER, Universidad Pablo de </w:t>
            </w:r>
            <w:proofErr w:type="spellStart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Olavide</w:t>
            </w:r>
            <w:proofErr w:type="spellEnd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and the T.M.C. Asser </w:t>
            </w:r>
            <w:proofErr w:type="spellStart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Instituut</w:t>
            </w:r>
            <w:proofErr w:type="spellEnd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, Seville, Spain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17580F52" wp14:editId="28507476">
                  <wp:extent cx="161925" cy="152400"/>
                  <wp:effectExtent l="0" t="0" r="9525" b="0"/>
                  <wp:docPr id="74" name="Picture 74" descr="ArticlesIcon1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AD6" w:rsidRPr="005468F0" w:rsidTr="00985C9A">
        <w:trPr>
          <w:trHeight w:val="129"/>
        </w:trPr>
        <w:tc>
          <w:tcPr>
            <w:tcW w:w="1530" w:type="dxa"/>
          </w:tcPr>
          <w:p w:rsidR="00F32AD6" w:rsidRDefault="00F32AD6" w:rsidP="00985C9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25 May</w:t>
            </w:r>
          </w:p>
        </w:tc>
        <w:tc>
          <w:tcPr>
            <w:tcW w:w="7848" w:type="dxa"/>
          </w:tcPr>
          <w:p w:rsidR="00F32AD6" w:rsidRDefault="00F32AD6" w:rsidP="005851E4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‘Human rights and the EU crisis management operations: a duty to respect and to protect?’ </w:t>
            </w:r>
            <w:r w:rsidR="005851E4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W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orkshop organised by T.M.C. Asser </w:t>
            </w:r>
            <w:proofErr w:type="spellStart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Instituut</w:t>
            </w:r>
            <w:proofErr w:type="spellEnd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, </w:t>
            </w:r>
            <w:r w:rsidR="00EF2054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CLEER and </w:t>
            </w:r>
            <w:r w:rsidR="00472C41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NLDA</w:t>
            </w:r>
            <w:r w:rsidR="00EF2054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, </w:t>
            </w:r>
            <w:r w:rsidR="008E759E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The Hague, 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NL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2BECB061" wp14:editId="32374C56">
                  <wp:extent cx="161925" cy="152400"/>
                  <wp:effectExtent l="0" t="0" r="9525" b="0"/>
                  <wp:docPr id="75" name="Picture 75" descr="ArticlesIcon1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AD6" w:rsidRPr="005468F0" w:rsidTr="00985C9A">
        <w:trPr>
          <w:trHeight w:val="129"/>
        </w:trPr>
        <w:tc>
          <w:tcPr>
            <w:tcW w:w="1530" w:type="dxa"/>
          </w:tcPr>
          <w:p w:rsidR="00F32AD6" w:rsidRDefault="00F32AD6" w:rsidP="00985C9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lastRenderedPageBreak/>
              <w:t>19 June</w:t>
            </w:r>
          </w:p>
        </w:tc>
        <w:tc>
          <w:tcPr>
            <w:tcW w:w="7848" w:type="dxa"/>
          </w:tcPr>
          <w:p w:rsidR="00F32AD6" w:rsidRDefault="002641E5" w:rsidP="005851E4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‘Legal A</w:t>
            </w:r>
            <w:r w:rsidR="00F32AD6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pproximation and 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A</w:t>
            </w:r>
            <w:r w:rsidR="00F32AD6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pplication of EU law in the Eastern 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N</w:t>
            </w:r>
            <w:r w:rsidR="00F32AD6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eighbourhood of the Europe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an Union: Towards a Common Regulatory Space?</w:t>
            </w:r>
            <w:r w:rsidR="00F32AD6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’, Conference organised by Gent </w:t>
            </w:r>
            <w:r w:rsidR="000D0C37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University</w:t>
            </w:r>
            <w:r w:rsidR="00F32AD6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, </w:t>
            </w:r>
            <w:r w:rsidR="00EF2054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Ghent, </w:t>
            </w:r>
            <w:r w:rsidR="00F32AD6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BE </w:t>
            </w:r>
            <w:r w:rsidR="00F32AD6">
              <w:rPr>
                <w:rFonts w:ascii="Cambria" w:hAnsi="Cambria"/>
                <w:bCs/>
                <w:noProof/>
              </w:rPr>
              <w:drawing>
                <wp:inline distT="0" distB="0" distL="0" distR="0" wp14:anchorId="3FE6EAE6" wp14:editId="18CE4695">
                  <wp:extent cx="161925" cy="152400"/>
                  <wp:effectExtent l="0" t="0" r="9525" b="0"/>
                  <wp:docPr id="76" name="Picture 76" descr="ArticlesIcon1.jp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799E" w:rsidRDefault="0076799E" w:rsidP="0076799E">
      <w:pPr>
        <w:spacing w:after="0"/>
        <w:jc w:val="both"/>
        <w:rPr>
          <w:rFonts w:ascii="Cambria" w:hAnsi="Cambria" w:cs="Arial"/>
          <w:sz w:val="16"/>
          <w:szCs w:val="16"/>
          <w:lang w:val="en-GB"/>
        </w:rPr>
      </w:pPr>
    </w:p>
    <w:p w:rsidR="0076799E" w:rsidRPr="005468F0" w:rsidRDefault="0076799E" w:rsidP="0076799E">
      <w:pPr>
        <w:spacing w:after="0"/>
        <w:jc w:val="right"/>
        <w:rPr>
          <w:rFonts w:ascii="Cambria" w:hAnsi="Cambria" w:cs="Arial"/>
          <w:sz w:val="16"/>
          <w:szCs w:val="16"/>
          <w:lang w:val="en-GB"/>
        </w:rPr>
      </w:pPr>
      <w:r w:rsidRPr="005468F0">
        <w:rPr>
          <w:rFonts w:ascii="Cambria" w:hAnsi="Cambria" w:cs="Arial"/>
          <w:sz w:val="16"/>
          <w:szCs w:val="16"/>
          <w:lang w:val="en-GB"/>
        </w:rPr>
        <w:t xml:space="preserve">Edited by </w:t>
      </w:r>
      <w:r w:rsidRPr="0076799E">
        <w:rPr>
          <w:rFonts w:ascii="Cambria" w:hAnsi="Cambria" w:cs="Arial"/>
          <w:sz w:val="16"/>
          <w:szCs w:val="16"/>
          <w:lang w:val="en-GB"/>
        </w:rPr>
        <w:t>Linda Kr</w:t>
      </w:r>
      <w:r w:rsidRPr="0076799E">
        <w:rPr>
          <w:snapToGrid w:val="0"/>
          <w:spacing w:val="-2"/>
          <w:sz w:val="16"/>
          <w:szCs w:val="16"/>
          <w:lang w:val="nl-NL"/>
        </w:rPr>
        <w:t>ӕ</w:t>
      </w:r>
      <w:proofErr w:type="spellStart"/>
      <w:r w:rsidRPr="0076799E">
        <w:rPr>
          <w:rFonts w:ascii="Cambria" w:hAnsi="Cambria" w:cs="Arial"/>
          <w:sz w:val="16"/>
          <w:szCs w:val="16"/>
          <w:lang w:val="en-GB"/>
        </w:rPr>
        <w:t>mer</w:t>
      </w:r>
      <w:proofErr w:type="spellEnd"/>
      <w:r>
        <w:rPr>
          <w:rFonts w:ascii="Cambria" w:hAnsi="Cambria" w:cs="Arial"/>
          <w:sz w:val="16"/>
          <w:szCs w:val="16"/>
          <w:lang w:val="en-GB"/>
        </w:rPr>
        <w:t xml:space="preserve"> &amp; </w:t>
      </w:r>
      <w:proofErr w:type="spellStart"/>
      <w:r>
        <w:rPr>
          <w:rFonts w:ascii="Cambria" w:hAnsi="Cambria" w:cs="Arial"/>
          <w:sz w:val="16"/>
          <w:szCs w:val="16"/>
          <w:lang w:val="en-GB"/>
        </w:rPr>
        <w:t>Dr.</w:t>
      </w:r>
      <w:proofErr w:type="spellEnd"/>
      <w:r>
        <w:rPr>
          <w:rFonts w:ascii="Cambria" w:hAnsi="Cambria" w:cs="Arial"/>
          <w:sz w:val="16"/>
          <w:szCs w:val="16"/>
          <w:lang w:val="en-GB"/>
        </w:rPr>
        <w:t xml:space="preserve"> Tamara </w:t>
      </w:r>
      <w:proofErr w:type="spellStart"/>
      <w:r>
        <w:rPr>
          <w:rFonts w:ascii="Cambria" w:hAnsi="Cambria" w:cs="Arial"/>
          <w:sz w:val="16"/>
          <w:szCs w:val="16"/>
          <w:lang w:val="en-GB"/>
        </w:rPr>
        <w:t>Takács</w:t>
      </w:r>
      <w:proofErr w:type="spellEnd"/>
    </w:p>
    <w:p w:rsidR="006F363E" w:rsidRDefault="006F363E"/>
    <w:sectPr w:rsidR="006F363E" w:rsidSect="00827079">
      <w:footerReference w:type="default" r:id="rId33"/>
      <w:pgSz w:w="12240" w:h="15840"/>
      <w:pgMar w:top="1238" w:right="1440" w:bottom="123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D36" w:rsidRDefault="006E3D36">
      <w:pPr>
        <w:spacing w:after="0" w:line="240" w:lineRule="auto"/>
      </w:pPr>
      <w:r>
        <w:separator/>
      </w:r>
    </w:p>
  </w:endnote>
  <w:endnote w:type="continuationSeparator" w:id="0">
    <w:p w:rsidR="006E3D36" w:rsidRDefault="006E3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A20D43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D36" w:rsidRDefault="006E3D3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4E18">
      <w:rPr>
        <w:noProof/>
      </w:rPr>
      <w:t>1</w:t>
    </w:r>
    <w:r>
      <w:rPr>
        <w:noProof/>
      </w:rPr>
      <w:fldChar w:fldCharType="end"/>
    </w:r>
  </w:p>
  <w:p w:rsidR="006E3D36" w:rsidRDefault="006E3D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D36" w:rsidRDefault="006E3D36">
      <w:pPr>
        <w:spacing w:after="0" w:line="240" w:lineRule="auto"/>
      </w:pPr>
      <w:r>
        <w:separator/>
      </w:r>
    </w:p>
  </w:footnote>
  <w:footnote w:type="continuationSeparator" w:id="0">
    <w:p w:rsidR="006E3D36" w:rsidRDefault="006E3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B78A8"/>
    <w:multiLevelType w:val="hybridMultilevel"/>
    <w:tmpl w:val="288AB9F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9E"/>
    <w:rsid w:val="00001FA7"/>
    <w:rsid w:val="000030E3"/>
    <w:rsid w:val="00003AB3"/>
    <w:rsid w:val="00030F26"/>
    <w:rsid w:val="000310B4"/>
    <w:rsid w:val="00086F3C"/>
    <w:rsid w:val="000C6BD3"/>
    <w:rsid w:val="000D0C37"/>
    <w:rsid w:val="000D4E84"/>
    <w:rsid w:val="000E6D49"/>
    <w:rsid w:val="00162FBD"/>
    <w:rsid w:val="00172804"/>
    <w:rsid w:val="00202BD2"/>
    <w:rsid w:val="00205AAF"/>
    <w:rsid w:val="0022173B"/>
    <w:rsid w:val="00232E1D"/>
    <w:rsid w:val="002540C0"/>
    <w:rsid w:val="002641E5"/>
    <w:rsid w:val="0026520D"/>
    <w:rsid w:val="002749A7"/>
    <w:rsid w:val="00287596"/>
    <w:rsid w:val="00297390"/>
    <w:rsid w:val="00297A55"/>
    <w:rsid w:val="002A3910"/>
    <w:rsid w:val="002C7596"/>
    <w:rsid w:val="002D1824"/>
    <w:rsid w:val="002F09BC"/>
    <w:rsid w:val="003028EE"/>
    <w:rsid w:val="003100E9"/>
    <w:rsid w:val="0031064A"/>
    <w:rsid w:val="00340AA0"/>
    <w:rsid w:val="003530EC"/>
    <w:rsid w:val="00381A3F"/>
    <w:rsid w:val="00395592"/>
    <w:rsid w:val="003E4701"/>
    <w:rsid w:val="003E6D22"/>
    <w:rsid w:val="003F05A3"/>
    <w:rsid w:val="004140AF"/>
    <w:rsid w:val="00423286"/>
    <w:rsid w:val="004317D9"/>
    <w:rsid w:val="00451358"/>
    <w:rsid w:val="00462EDB"/>
    <w:rsid w:val="00471DBE"/>
    <w:rsid w:val="00472C41"/>
    <w:rsid w:val="00497D8E"/>
    <w:rsid w:val="004C6265"/>
    <w:rsid w:val="004E202E"/>
    <w:rsid w:val="004E7861"/>
    <w:rsid w:val="004F6017"/>
    <w:rsid w:val="0050263C"/>
    <w:rsid w:val="00502D50"/>
    <w:rsid w:val="0051728F"/>
    <w:rsid w:val="00533FE4"/>
    <w:rsid w:val="005712C0"/>
    <w:rsid w:val="005851E4"/>
    <w:rsid w:val="005A1BCF"/>
    <w:rsid w:val="005C5BAC"/>
    <w:rsid w:val="005C6AB7"/>
    <w:rsid w:val="005D1418"/>
    <w:rsid w:val="005D7783"/>
    <w:rsid w:val="00610B38"/>
    <w:rsid w:val="006251C1"/>
    <w:rsid w:val="006359F8"/>
    <w:rsid w:val="00670D4A"/>
    <w:rsid w:val="00676501"/>
    <w:rsid w:val="006A2C9D"/>
    <w:rsid w:val="006B6CBA"/>
    <w:rsid w:val="006E3D36"/>
    <w:rsid w:val="006F363E"/>
    <w:rsid w:val="006F499F"/>
    <w:rsid w:val="006F4E18"/>
    <w:rsid w:val="007414BD"/>
    <w:rsid w:val="00742453"/>
    <w:rsid w:val="00743E22"/>
    <w:rsid w:val="0075023A"/>
    <w:rsid w:val="007649AC"/>
    <w:rsid w:val="0076799E"/>
    <w:rsid w:val="007738EE"/>
    <w:rsid w:val="0077604A"/>
    <w:rsid w:val="007826CC"/>
    <w:rsid w:val="007D2010"/>
    <w:rsid w:val="007E6EF2"/>
    <w:rsid w:val="007F5138"/>
    <w:rsid w:val="00806FA7"/>
    <w:rsid w:val="00816AEC"/>
    <w:rsid w:val="00827079"/>
    <w:rsid w:val="008421D8"/>
    <w:rsid w:val="00865D76"/>
    <w:rsid w:val="0086661B"/>
    <w:rsid w:val="0087594B"/>
    <w:rsid w:val="00876719"/>
    <w:rsid w:val="008E32C5"/>
    <w:rsid w:val="008E759E"/>
    <w:rsid w:val="008F1675"/>
    <w:rsid w:val="0090442F"/>
    <w:rsid w:val="00911A29"/>
    <w:rsid w:val="0091300C"/>
    <w:rsid w:val="009443D9"/>
    <w:rsid w:val="00951C9A"/>
    <w:rsid w:val="00965127"/>
    <w:rsid w:val="00977C2D"/>
    <w:rsid w:val="00984848"/>
    <w:rsid w:val="00985C9A"/>
    <w:rsid w:val="009947EB"/>
    <w:rsid w:val="009C2CC8"/>
    <w:rsid w:val="009E003E"/>
    <w:rsid w:val="00A2494D"/>
    <w:rsid w:val="00A40252"/>
    <w:rsid w:val="00A44CDF"/>
    <w:rsid w:val="00A45F74"/>
    <w:rsid w:val="00A531C6"/>
    <w:rsid w:val="00A56BEE"/>
    <w:rsid w:val="00A62CE2"/>
    <w:rsid w:val="00A74AD1"/>
    <w:rsid w:val="00A853F6"/>
    <w:rsid w:val="00A95FF3"/>
    <w:rsid w:val="00AE4E36"/>
    <w:rsid w:val="00B11DF6"/>
    <w:rsid w:val="00B34AF1"/>
    <w:rsid w:val="00B40043"/>
    <w:rsid w:val="00B45DDF"/>
    <w:rsid w:val="00B85145"/>
    <w:rsid w:val="00BD21F4"/>
    <w:rsid w:val="00C5080B"/>
    <w:rsid w:val="00C83343"/>
    <w:rsid w:val="00C86359"/>
    <w:rsid w:val="00C97769"/>
    <w:rsid w:val="00CE60FD"/>
    <w:rsid w:val="00CE6238"/>
    <w:rsid w:val="00D11021"/>
    <w:rsid w:val="00D660F8"/>
    <w:rsid w:val="00D76849"/>
    <w:rsid w:val="00D83083"/>
    <w:rsid w:val="00DA50C0"/>
    <w:rsid w:val="00DE1170"/>
    <w:rsid w:val="00DF0053"/>
    <w:rsid w:val="00E00281"/>
    <w:rsid w:val="00E0069E"/>
    <w:rsid w:val="00E16472"/>
    <w:rsid w:val="00E24CF6"/>
    <w:rsid w:val="00E423D9"/>
    <w:rsid w:val="00E65220"/>
    <w:rsid w:val="00E73606"/>
    <w:rsid w:val="00E76E71"/>
    <w:rsid w:val="00EA3BB9"/>
    <w:rsid w:val="00EC3C28"/>
    <w:rsid w:val="00EC7101"/>
    <w:rsid w:val="00EF2054"/>
    <w:rsid w:val="00EF7470"/>
    <w:rsid w:val="00F042B7"/>
    <w:rsid w:val="00F25C99"/>
    <w:rsid w:val="00F32AD6"/>
    <w:rsid w:val="00F335A1"/>
    <w:rsid w:val="00F9512F"/>
    <w:rsid w:val="00FA735B"/>
    <w:rsid w:val="00FB5BAD"/>
    <w:rsid w:val="00FC0F46"/>
    <w:rsid w:val="00FD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9E"/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qFormat/>
    <w:rsid w:val="0076799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7679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799E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7679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qFormat/>
    <w:rsid w:val="007679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99E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6799E"/>
    <w:rPr>
      <w:rFonts w:ascii="Calibri" w:eastAsia="Calibri" w:hAnsi="Calibri" w:cs="Times New Roman"/>
      <w:sz w:val="20"/>
      <w:szCs w:val="20"/>
    </w:rPr>
  </w:style>
  <w:style w:type="character" w:customStyle="1" w:styleId="enhancedlinksboxtitle2">
    <w:name w:val="enhancedlinksbox_title2"/>
    <w:rsid w:val="0076799E"/>
    <w:rPr>
      <w:rFonts w:ascii="Verdana" w:hAnsi="Verdana" w:cs="Times New Roman"/>
      <w:b/>
      <w:bCs/>
      <w:color w:val="000000"/>
    </w:rPr>
  </w:style>
  <w:style w:type="paragraph" w:customStyle="1" w:styleId="astandard3320titre">
    <w:name w:val="a_standard__33__20_titre"/>
    <w:basedOn w:val="Normal"/>
    <w:rsid w:val="0076799E"/>
    <w:pPr>
      <w:spacing w:before="240" w:after="6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99E"/>
    <w:rPr>
      <w:rFonts w:ascii="Tahoma" w:eastAsia="Times New Roman" w:hAnsi="Tahoma" w:cs="Tahoma"/>
      <w:sz w:val="16"/>
      <w:szCs w:val="16"/>
    </w:rPr>
  </w:style>
  <w:style w:type="character" w:customStyle="1" w:styleId="at1">
    <w:name w:val="a__t1"/>
    <w:basedOn w:val="DefaultParagraphFont"/>
    <w:rsid w:val="00A56B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9E"/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qFormat/>
    <w:rsid w:val="0076799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7679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799E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7679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qFormat/>
    <w:rsid w:val="007679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99E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6799E"/>
    <w:rPr>
      <w:rFonts w:ascii="Calibri" w:eastAsia="Calibri" w:hAnsi="Calibri" w:cs="Times New Roman"/>
      <w:sz w:val="20"/>
      <w:szCs w:val="20"/>
    </w:rPr>
  </w:style>
  <w:style w:type="character" w:customStyle="1" w:styleId="enhancedlinksboxtitle2">
    <w:name w:val="enhancedlinksbox_title2"/>
    <w:rsid w:val="0076799E"/>
    <w:rPr>
      <w:rFonts w:ascii="Verdana" w:hAnsi="Verdana" w:cs="Times New Roman"/>
      <w:b/>
      <w:bCs/>
      <w:color w:val="000000"/>
    </w:rPr>
  </w:style>
  <w:style w:type="paragraph" w:customStyle="1" w:styleId="astandard3320titre">
    <w:name w:val="a_standard__33__20_titre"/>
    <w:basedOn w:val="Normal"/>
    <w:rsid w:val="0076799E"/>
    <w:pPr>
      <w:spacing w:before="240" w:after="6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99E"/>
    <w:rPr>
      <w:rFonts w:ascii="Tahoma" w:eastAsia="Times New Roman" w:hAnsi="Tahoma" w:cs="Tahoma"/>
      <w:sz w:val="16"/>
      <w:szCs w:val="16"/>
    </w:rPr>
  </w:style>
  <w:style w:type="character" w:customStyle="1" w:styleId="at1">
    <w:name w:val="a__t1"/>
    <w:basedOn w:val="DefaultParagraphFont"/>
    <w:rsid w:val="00A56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egister.consilium.europa.eu/pdf/en/12/st08/st08401.en12.pdf" TargetMode="External"/><Relationship Id="rId18" Type="http://schemas.openxmlformats.org/officeDocument/2006/relationships/hyperlink" Target="http://europa.eu/rapid/pressReleasesAction.do?reference=IP/12/348&amp;format=HTML&amp;aged=0&amp;language=EN&amp;guiLanguage=en" TargetMode="External"/><Relationship Id="rId26" Type="http://schemas.openxmlformats.org/officeDocument/2006/relationships/hyperlink" Target="http://www.coleurope.eu/content/development/prof/EUDiplomacy/index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ilium.europa.eu/uedocs/cms_data/docs/pressdata/EN/foraff/129404.pdf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europa.eu/rapid/pressReleasesAction.do?reference=IP/12/354&amp;format=HTML&amp;aged=0&amp;language=EN&amp;guiLanguage=en" TargetMode="External"/><Relationship Id="rId17" Type="http://schemas.openxmlformats.org/officeDocument/2006/relationships/hyperlink" Target="http://register.consilium.europa.eu/pdf/en/12/st08/st08470.en12.pdf" TargetMode="External"/><Relationship Id="rId25" Type="http://schemas.openxmlformats.org/officeDocument/2006/relationships/hyperlink" Target="http://www.pravo.unizg.hr/EJP/jean_monnet_projekt/dubrovnik_2012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eda.europa.eu/Libraries/EDA_2012_Annual_Conference_Report_Refocusing_Defence/120314_CONF_8pages_web.sflb.ashx" TargetMode="External"/><Relationship Id="rId20" Type="http://schemas.openxmlformats.org/officeDocument/2006/relationships/hyperlink" Target="http://www.iss.europa.eu/publications/detail/article/eu-multilateral-relations-with-southern-partners-reflections-on-future-prospects/" TargetMode="External"/><Relationship Id="rId29" Type="http://schemas.openxmlformats.org/officeDocument/2006/relationships/hyperlink" Target="http://euroacademia.e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uropa.eu/rapid/pressReleasesAction.do?reference=SPEECH/12/253&amp;format=HTML&amp;aged=0&amp;language=EN&amp;guiLanguage=en" TargetMode="External"/><Relationship Id="rId24" Type="http://schemas.openxmlformats.org/officeDocument/2006/relationships/hyperlink" Target="http://www.coleurop.be/template.asp?pagename=irdconf&amp;sub=2012-International.conference.on.The.EU.and.China-Partners.for.a.Green.World" TargetMode="External"/><Relationship Id="rId32" Type="http://schemas.openxmlformats.org/officeDocument/2006/relationships/hyperlink" Target="http://www.asser.nl/events.aspx?id=2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uropa.eu/rapid/pressReleasesAction.do?reference=MEMO/12/241&amp;format=HTML&amp;aged=0&amp;language=EN&amp;guiLanguage=en" TargetMode="External"/><Relationship Id="rId23" Type="http://schemas.openxmlformats.org/officeDocument/2006/relationships/hyperlink" Target="http://www.asser.nl/events.aspx?id=298" TargetMode="External"/><Relationship Id="rId28" Type="http://schemas.openxmlformats.org/officeDocument/2006/relationships/hyperlink" Target="http://seminars.eipa.eu/en/activities09/show/&amp;tid=4926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europa.eu/rapid/pressReleasesAction.do?reference=SPEECH/12/251&amp;format=HTML&amp;aged=0&amp;language=EN&amp;guiLanguage=en" TargetMode="External"/><Relationship Id="rId31" Type="http://schemas.openxmlformats.org/officeDocument/2006/relationships/hyperlink" Target="http://www.asser.nl/events.aspx?id=2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opa.eu/rapid/pressReleasesAction.do?reference=SPEECH/12/256&amp;format=HTML&amp;aged=0&amp;language=EN&amp;guiLanguage=en" TargetMode="External"/><Relationship Id="rId14" Type="http://schemas.openxmlformats.org/officeDocument/2006/relationships/hyperlink" Target="http://www.consilium.europa.eu/uedocs/cms_data/docs/pressdata/EN/foraff/129405.pdf" TargetMode="External"/><Relationship Id="rId22" Type="http://schemas.openxmlformats.org/officeDocument/2006/relationships/hyperlink" Target="http://uk.amiando.com/The_Future_of_Europe.html" TargetMode="External"/><Relationship Id="rId27" Type="http://schemas.openxmlformats.org/officeDocument/2006/relationships/hyperlink" Target="http://www.ies.be/wednesday-webinars/quo-vadis-eu-eu-abroad-world" TargetMode="External"/><Relationship Id="rId30" Type="http://schemas.openxmlformats.org/officeDocument/2006/relationships/hyperlink" Target="http://www.asser.nl/events.aspx?id=291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TMC Asser Instituut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Kraemer</dc:creator>
  <cp:lastModifiedBy>Tamara Takacs</cp:lastModifiedBy>
  <cp:revision>4</cp:revision>
  <cp:lastPrinted>2012-04-11T08:36:00Z</cp:lastPrinted>
  <dcterms:created xsi:type="dcterms:W3CDTF">2012-04-16T15:38:00Z</dcterms:created>
  <dcterms:modified xsi:type="dcterms:W3CDTF">2012-04-16T15:43:00Z</dcterms:modified>
</cp:coreProperties>
</file>